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887246" w:rsidRDefault="004F4EA6" w:rsidP="004F4EA6">
      <w:pPr>
        <w:pStyle w:val="nadpcent"/>
      </w:pPr>
      <w:r w:rsidRPr="00887246">
        <w:t>Důvodová zpráva</w:t>
      </w:r>
    </w:p>
    <w:p w:rsidR="004F4EA6" w:rsidRPr="00887246" w:rsidRDefault="004F4EA6" w:rsidP="00874AAD">
      <w:pPr>
        <w:pStyle w:val="ostzahl"/>
        <w:numPr>
          <w:ilvl w:val="0"/>
          <w:numId w:val="2"/>
        </w:numPr>
      </w:pPr>
      <w:r w:rsidRPr="00887246">
        <w:t>Název problému a jeho charakteristika</w:t>
      </w:r>
    </w:p>
    <w:p w:rsidR="00446A3B" w:rsidRPr="00887246" w:rsidRDefault="006D243C" w:rsidP="00446A3B">
      <w:pPr>
        <w:pStyle w:val="vlevo"/>
      </w:pPr>
      <w:r w:rsidRPr="00887246">
        <w:t>Projednání prominutí dluhu na poplatcích z prodlení - byt č. 23, Resslova 13, Plzeň</w:t>
      </w:r>
      <w:r w:rsidR="00446A3B" w:rsidRPr="00887246">
        <w:t>.</w:t>
      </w:r>
    </w:p>
    <w:p w:rsidR="004F4EA6" w:rsidRPr="00887246" w:rsidRDefault="004F4EA6" w:rsidP="00874AAD">
      <w:pPr>
        <w:pStyle w:val="ostzahl"/>
        <w:numPr>
          <w:ilvl w:val="0"/>
          <w:numId w:val="2"/>
        </w:numPr>
      </w:pPr>
      <w:r w:rsidRPr="00887246">
        <w:t>Konstatování současného stavu a jeho analýza</w:t>
      </w:r>
    </w:p>
    <w:p w:rsidR="006D243C" w:rsidRPr="00FE70BD" w:rsidRDefault="006D243C" w:rsidP="006D243C">
      <w:pPr>
        <w:pStyle w:val="vlevo"/>
      </w:pPr>
      <w:r w:rsidRPr="00887246">
        <w:t>Společnost Obytná zóna Sylván a. s., jako správce bytového a nebytového</w:t>
      </w:r>
      <w:r w:rsidRPr="00FE70BD">
        <w:t xml:space="preserve"> fondu města Plzně eviduje dluh za paní </w:t>
      </w:r>
      <w:r w:rsidRPr="00DC6D9E">
        <w:rPr>
          <w:highlight w:val="yellow"/>
        </w:rPr>
        <w:t>Boženou Čonkovou, datum narození 19. 12. 1980, trvale bytem v Plzni, Kotkova 23</w:t>
      </w:r>
      <w:r w:rsidRPr="00FE70BD">
        <w:t xml:space="preserve">. Jmenovaná byla nájemcem a následně uživatelem městského bytu č. 23, Resslova 13, Plzeň do 28. 2. 2009. Jedná se o dluh na poplatcích z prodlení v celkové výši </w:t>
      </w:r>
      <w:r w:rsidRPr="00FE70BD">
        <w:rPr>
          <w:bCs/>
          <w:szCs w:val="24"/>
        </w:rPr>
        <w:t>797 992 Kč</w:t>
      </w:r>
      <w:r w:rsidRPr="00FE70BD">
        <w:t xml:space="preserve">. </w:t>
      </w:r>
    </w:p>
    <w:p w:rsidR="006D243C" w:rsidRPr="00FE70BD" w:rsidRDefault="006D243C" w:rsidP="006D243C">
      <w:pPr>
        <w:pStyle w:val="vlevo"/>
      </w:pPr>
    </w:p>
    <w:p w:rsidR="006D243C" w:rsidRPr="00FE70BD" w:rsidRDefault="006D243C" w:rsidP="006D243C">
      <w:pPr>
        <w:pStyle w:val="vlevo"/>
      </w:pPr>
      <w:r w:rsidRPr="00FE70BD">
        <w:t xml:space="preserve">Původní, základní dluh na nájemném a na zálohách na služby za období </w:t>
      </w:r>
      <w:r w:rsidRPr="00FE70BD">
        <w:br/>
        <w:t xml:space="preserve">1/2006-2/2009 a na nedoplatku na vyúčtování záloh na služby za roky 2005, 2006, 2008 a 2009 činil 123 293 Kč a byl dobrovolně splácen v letech 2012-2017. V současné době je již splácen dluh na poplatcích z prodlení. </w:t>
      </w:r>
    </w:p>
    <w:p w:rsidR="006D243C" w:rsidRPr="00FE70BD" w:rsidRDefault="006D243C" w:rsidP="006D243C">
      <w:pPr>
        <w:pStyle w:val="vlevo"/>
      </w:pPr>
      <w:r w:rsidRPr="00FE70BD">
        <w:t>Pro vymožení dluhu jsou vedeny dvě exekuce, základní dluh i část dluhu na poplatcích z prodlení byl uhrazen mimo exekuci přímo bývalou nájemkyní na účet správce. Dále jsou v exekuci vymáhány náklady řízení celkem ve výši 55 343,30 Kč. Náklady oprávněného z obou exekucí jsou v pravděpodobné (zatímní) výši, celkem 26 542,20 Kč. Na nákladech řízení a nákladech oprávněného nebylo zatím uhrazeno ničeho.</w:t>
      </w:r>
    </w:p>
    <w:p w:rsidR="006D243C" w:rsidRPr="00FE70BD" w:rsidRDefault="006D243C" w:rsidP="006D243C">
      <w:pPr>
        <w:pStyle w:val="vlevo"/>
      </w:pPr>
    </w:p>
    <w:p w:rsidR="006D243C" w:rsidRPr="00FE70BD" w:rsidRDefault="006D243C" w:rsidP="006D243C">
      <w:pPr>
        <w:pStyle w:val="vlevo"/>
      </w:pPr>
      <w:r w:rsidRPr="00FE70BD">
        <w:t xml:space="preserve">Za pozdní úhrady výše uvedeného základního dluhu byly vyčíslené </w:t>
      </w:r>
      <w:r w:rsidRPr="00FE70BD">
        <w:rPr>
          <w:b/>
        </w:rPr>
        <w:t xml:space="preserve">poplatky z prodlení ve výši 813 492 Kč </w:t>
      </w:r>
      <w:r w:rsidRPr="00FE70BD">
        <w:t>(téměř sedminásobek základního dluhu),</w:t>
      </w:r>
      <w:r w:rsidRPr="00FE70BD">
        <w:rPr>
          <w:b/>
        </w:rPr>
        <w:t xml:space="preserve"> </w:t>
      </w:r>
      <w:r w:rsidRPr="00FE70BD">
        <w:t xml:space="preserve">pokud by se na místo poplatků jednalo o úroky, byly by ve výši 71 855 Kč. Rozdíl mezi poplatky </w:t>
      </w:r>
      <w:r w:rsidRPr="00FE70BD">
        <w:br/>
        <w:t>a úroky představuje částka 741 637 Kč (šestinásobek základního dluhu).</w:t>
      </w:r>
    </w:p>
    <w:p w:rsidR="006D243C" w:rsidRPr="00FE70BD" w:rsidRDefault="006D243C" w:rsidP="006D243C">
      <w:pPr>
        <w:pStyle w:val="vlevo"/>
      </w:pPr>
      <w:r w:rsidRPr="00FE70BD">
        <w:t>Na poplatcích z prodlení byla</w:t>
      </w:r>
      <w:r w:rsidRPr="00FE70BD">
        <w:rPr>
          <w:b/>
        </w:rPr>
        <w:t xml:space="preserve"> uhrazena částka 15 500 Kč</w:t>
      </w:r>
      <w:r w:rsidRPr="00FE70BD">
        <w:t xml:space="preserve">, což představuje úhradu ve výši 1,85 % z celkového dluhu na poplatcích z prodlení. Pokud by se jednalo o úroky (viz částka 71 855 Kč), zůstatek dluhu na nich by po této úhradě činil 56 355 Kč </w:t>
      </w:r>
      <w:r w:rsidRPr="00FE70BD">
        <w:br/>
        <w:t>(tj. 78,43 % dluhu na fiktivních úrocích, 50 % těchto úroků = 35 927,50 Kč).</w:t>
      </w:r>
    </w:p>
    <w:p w:rsidR="006D243C" w:rsidRPr="00FE70BD" w:rsidRDefault="006D243C" w:rsidP="006D243C">
      <w:pPr>
        <w:pStyle w:val="vlevo"/>
      </w:pPr>
      <w:r w:rsidRPr="00FE70BD">
        <w:rPr>
          <w:b/>
        </w:rPr>
        <w:t xml:space="preserve">Zůstatek dluhu na poplatcích z prodlení činí </w:t>
      </w:r>
      <w:r w:rsidRPr="00FE70BD">
        <w:rPr>
          <w:b/>
          <w:bCs/>
          <w:szCs w:val="24"/>
        </w:rPr>
        <w:t>797 992 Kč</w:t>
      </w:r>
      <w:r w:rsidRPr="00FE70BD">
        <w:t>, tj. 98,01 % dluhu na poplatcích z prodlení.</w:t>
      </w:r>
    </w:p>
    <w:p w:rsidR="006D243C" w:rsidRPr="00FE70BD" w:rsidRDefault="006D243C" w:rsidP="006D243C">
      <w:pPr>
        <w:pStyle w:val="vlevo"/>
      </w:pPr>
    </w:p>
    <w:p w:rsidR="006D243C" w:rsidRPr="00FE70BD" w:rsidRDefault="006D243C" w:rsidP="006D243C">
      <w:pPr>
        <w:pStyle w:val="vlevo"/>
      </w:pPr>
      <w:r w:rsidRPr="00FE70BD">
        <w:t>Dlužník žádá o prominutí zůstatku dluhu z důvodu tvrdosti zákona (kdy poplatky z prodlení podle tehdy platného předpisu byly vypočteny ve výši 2,5 promile z dlužné částky denně až do zaplacení, což představuje roční úrokovou sazbu 91,25 %; vypočtené poplatky z prodlení ve výši 813 492 Kč</w:t>
      </w:r>
      <w:r w:rsidRPr="00FE70BD">
        <w:rPr>
          <w:b/>
        </w:rPr>
        <w:t xml:space="preserve"> </w:t>
      </w:r>
      <w:r w:rsidRPr="00FE70BD">
        <w:t>jsou tak téměř ve výši sedminásobku základního dluhu 123 293 Kč). Dlužník však ještě neuhradil náklady řízení, náklady oprávněného a na poplatcích je uhrazena pouze částka 15 500 Kč. Žádost je k dispozici k nahlédnutí na Odboru bytovém, oddělení správy.</w:t>
      </w:r>
    </w:p>
    <w:p w:rsidR="006D243C" w:rsidRPr="00FE70BD" w:rsidRDefault="006D243C" w:rsidP="006D243C">
      <w:pPr>
        <w:pStyle w:val="vlevo"/>
        <w:rPr>
          <w:szCs w:val="24"/>
        </w:rPr>
      </w:pPr>
    </w:p>
    <w:p w:rsidR="006D243C" w:rsidRPr="00FE70BD" w:rsidRDefault="006D243C" w:rsidP="006D243C">
      <w:pPr>
        <w:pStyle w:val="vlevo"/>
        <w:rPr>
          <w:szCs w:val="24"/>
        </w:rPr>
      </w:pPr>
      <w:r w:rsidRPr="00FE70BD">
        <w:rPr>
          <w:szCs w:val="24"/>
        </w:rPr>
        <w:t xml:space="preserve">Podle § 85 zákona č. 128/2000 Sb., o obcích, ve znění pozdějších předpisů, </w:t>
      </w:r>
      <w:r w:rsidRPr="00FE70BD">
        <w:rPr>
          <w:szCs w:val="24"/>
        </w:rPr>
        <w:br/>
        <w:t xml:space="preserve">je zastupitelstvu vyhrazeno rozhodovat o prominutí dluhu vyššího než 20 000,00 Kč. V případě nižšího dluhu je rozhodování v kompetenci rady obce. </w:t>
      </w:r>
    </w:p>
    <w:p w:rsidR="006D243C" w:rsidRPr="00FE70BD" w:rsidRDefault="006D243C" w:rsidP="006D243C">
      <w:pPr>
        <w:pStyle w:val="vlevo"/>
        <w:rPr>
          <w:szCs w:val="24"/>
        </w:rPr>
      </w:pPr>
    </w:p>
    <w:p w:rsidR="006D243C" w:rsidRPr="00FE70BD" w:rsidRDefault="006D243C" w:rsidP="006D243C">
      <w:pPr>
        <w:jc w:val="both"/>
        <w:rPr>
          <w:i/>
        </w:rPr>
      </w:pPr>
      <w:r w:rsidRPr="00FE70BD">
        <w:lastRenderedPageBreak/>
        <w:t xml:space="preserve">V pravidlech stanovených vnitřní instrukcí QI 61–17–05 – Řešení pohledávek na nájemném a službách spojených s užíváním bytů…, kapitole 5. 8 – Úhrada poplatku z prodlení a úroku z prodlení je uvedeno: </w:t>
      </w:r>
      <w:r w:rsidRPr="00FE70BD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 prominutí dluhu na poplatcích/úrocích z prodlení. „Základní dluh“, dluh na nákladech řízení a dluh na nákladech oprávněného je nutné uhradit vždy v plné výši. Uhrazení „základního dluhu“ musí řádně doložit. … </w:t>
      </w:r>
    </w:p>
    <w:p w:rsidR="006D243C" w:rsidRPr="00FE70BD" w:rsidRDefault="006D243C" w:rsidP="006D243C">
      <w:pPr>
        <w:jc w:val="both"/>
        <w:rPr>
          <w:i/>
        </w:rPr>
      </w:pPr>
      <w:r w:rsidRPr="00FE70BD">
        <w:rPr>
          <w:i/>
        </w:rPr>
        <w:t>…Doporučená procentní výše promíjení poplatku/úroku z prodlení:</w:t>
      </w:r>
    </w:p>
    <w:p w:rsidR="006D243C" w:rsidRPr="00FE70BD" w:rsidRDefault="006D243C" w:rsidP="006D243C">
      <w:pPr>
        <w:jc w:val="both"/>
        <w:rPr>
          <w:i/>
        </w:rPr>
      </w:pPr>
      <w:r w:rsidRPr="00FE70BD">
        <w:rPr>
          <w:i/>
        </w:rPr>
        <w:t>50 až 100 % u dlužníků,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FE70BD">
        <w:rPr>
          <w:i/>
        </w:rPr>
        <w:t xml:space="preserve">kteří v době vzniku dluhu byli závažným způsobem nemocni (nemoc ohrožující život, jako např. nádorové onemocnění) 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FE70BD">
        <w:rPr>
          <w:i/>
        </w:rPr>
        <w:t xml:space="preserve">kteří v době vzniku dluhu byli hospitalizováni déle jak tři týdny v nemocnici. 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FE70BD">
        <w:rPr>
          <w:i/>
        </w:rPr>
        <w:t>u osob, které v nejbližším příbuzenstvu (manžel, manželka, děti, rodiče) měli úmrtí nebo závažnou chorobu ohrožující život nemocného a dluh vznikl v době této nemoci či úmrtí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FE70BD">
        <w:rPr>
          <w:i/>
        </w:rPr>
        <w:t xml:space="preserve">kteří přišli o zaměstnání 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FE70BD">
        <w:rPr>
          <w:i/>
        </w:rPr>
        <w:t xml:space="preserve">u matek a otců samoživitelů nebo po rozvodu </w:t>
      </w:r>
    </w:p>
    <w:p w:rsidR="006D243C" w:rsidRPr="00FE70BD" w:rsidRDefault="006D243C" w:rsidP="006D243C">
      <w:pPr>
        <w:pStyle w:val="Odstavecseseznamem"/>
        <w:numPr>
          <w:ilvl w:val="0"/>
          <w:numId w:val="25"/>
        </w:numPr>
        <w:contextualSpacing/>
        <w:jc w:val="both"/>
        <w:rPr>
          <w:b/>
          <w:i/>
        </w:rPr>
      </w:pPr>
      <w:r w:rsidRPr="00FE70BD">
        <w:rPr>
          <w:b/>
          <w:i/>
        </w:rPr>
        <w:t>u nájemců, u kterých je prokazatelné, že se snaží dluh umořit dle možností svých příjmů</w:t>
      </w:r>
      <w:r w:rsidRPr="00FE70BD">
        <w:rPr>
          <w:i/>
        </w:rPr>
        <w:t>…</w:t>
      </w:r>
    </w:p>
    <w:p w:rsidR="00332AAF" w:rsidRPr="00887246" w:rsidRDefault="006D243C" w:rsidP="006D243C">
      <w:pPr>
        <w:pStyle w:val="vlevo"/>
      </w:pPr>
      <w:r w:rsidRPr="00FE70BD">
        <w:rPr>
          <w:i/>
          <w:szCs w:val="24"/>
        </w:rPr>
        <w:t xml:space="preserve">… </w:t>
      </w:r>
      <w:r w:rsidRPr="00887246">
        <w:rPr>
          <w:i/>
          <w:szCs w:val="24"/>
        </w:rPr>
        <w:t>Rozhodnout o prominutí musí příslušný orgán obce (do 20 tis. Kč RMP, nad 20 tis. Kč ZMP). …“</w:t>
      </w:r>
    </w:p>
    <w:p w:rsidR="004F4EA6" w:rsidRPr="00887246" w:rsidRDefault="004F4EA6" w:rsidP="00874AAD">
      <w:pPr>
        <w:pStyle w:val="ostzahl"/>
        <w:numPr>
          <w:ilvl w:val="0"/>
          <w:numId w:val="2"/>
        </w:numPr>
      </w:pPr>
      <w:r w:rsidRPr="00887246">
        <w:t>Předpokládaný cílový stav</w:t>
      </w:r>
    </w:p>
    <w:p w:rsidR="00BC19BA" w:rsidRPr="00887246" w:rsidRDefault="002076F3" w:rsidP="00446A3B">
      <w:pPr>
        <w:pStyle w:val="vlevo"/>
      </w:pPr>
      <w:r w:rsidRPr="00887246">
        <w:t>dle návrhu usnesení.</w:t>
      </w:r>
    </w:p>
    <w:p w:rsidR="004F4EA6" w:rsidRPr="00887246" w:rsidRDefault="004F4EA6" w:rsidP="00874AAD">
      <w:pPr>
        <w:pStyle w:val="ostzahl"/>
      </w:pPr>
      <w:r w:rsidRPr="00887246">
        <w:t>Navrhované varianty řešení</w:t>
      </w:r>
    </w:p>
    <w:p w:rsidR="004F4EA6" w:rsidRPr="00887246" w:rsidRDefault="002076F3" w:rsidP="0073369E">
      <w:pPr>
        <w:pStyle w:val="vlevo"/>
      </w:pPr>
      <w:r w:rsidRPr="00887246">
        <w:t>nejsou</w:t>
      </w:r>
      <w:r w:rsidR="00446A3B" w:rsidRPr="00887246">
        <w:t>.</w:t>
      </w:r>
    </w:p>
    <w:p w:rsidR="00A73D5B" w:rsidRPr="00887246" w:rsidRDefault="00A73D5B" w:rsidP="00874AAD">
      <w:pPr>
        <w:pStyle w:val="ostzahl"/>
      </w:pPr>
      <w:r w:rsidRPr="00887246">
        <w:t xml:space="preserve">Doporučená varianta řešení </w:t>
      </w:r>
    </w:p>
    <w:p w:rsidR="00112725" w:rsidRPr="00887246" w:rsidRDefault="002076F3" w:rsidP="0073369E">
      <w:pPr>
        <w:pStyle w:val="vlevo"/>
      </w:pPr>
      <w:r w:rsidRPr="00887246">
        <w:t>není</w:t>
      </w:r>
      <w:r w:rsidR="00112725" w:rsidRPr="00887246">
        <w:t>.</w:t>
      </w:r>
    </w:p>
    <w:p w:rsidR="00B43CDA" w:rsidRPr="00887246" w:rsidRDefault="00B43CDA" w:rsidP="00874AAD">
      <w:pPr>
        <w:pStyle w:val="ostzahl"/>
      </w:pPr>
      <w:r w:rsidRPr="00887246">
        <w:t>Finanční nároky řešení a možnosti finančního krytí (včetně všech následných například provozních nákladů)</w:t>
      </w:r>
    </w:p>
    <w:p w:rsidR="00B43CDA" w:rsidRPr="00887246" w:rsidRDefault="00F55998" w:rsidP="0073369E">
      <w:pPr>
        <w:pStyle w:val="vlevo"/>
      </w:pPr>
      <w:r w:rsidRPr="00887246">
        <w:t>n</w:t>
      </w:r>
      <w:r w:rsidR="00B43CDA" w:rsidRPr="00887246">
        <w:t>ejsou</w:t>
      </w:r>
      <w:r w:rsidR="00981970" w:rsidRPr="00887246">
        <w:t>.</w:t>
      </w:r>
    </w:p>
    <w:p w:rsidR="00B43CDA" w:rsidRPr="00887246" w:rsidRDefault="00B43CDA" w:rsidP="00874AAD">
      <w:pPr>
        <w:pStyle w:val="ostzahl"/>
      </w:pPr>
      <w:r w:rsidRPr="00887246">
        <w:t>Návrh termínů realizace a určení zodpovědných pracovníků</w:t>
      </w:r>
    </w:p>
    <w:p w:rsidR="0053371F" w:rsidRPr="00887246" w:rsidRDefault="006D243C" w:rsidP="0073369E">
      <w:pPr>
        <w:pStyle w:val="vlevo"/>
      </w:pPr>
      <w:r w:rsidRPr="00887246">
        <w:t>dle bodu I</w:t>
      </w:r>
      <w:r w:rsidR="00D32777" w:rsidRPr="00887246">
        <w:t>II</w:t>
      </w:r>
      <w:r w:rsidRPr="00887246">
        <w:t>. tohoto usnesení</w:t>
      </w:r>
      <w:r w:rsidR="0053371F" w:rsidRPr="00887246">
        <w:t>.</w:t>
      </w:r>
    </w:p>
    <w:p w:rsidR="0053371F" w:rsidRPr="00887246" w:rsidRDefault="0053371F" w:rsidP="0073369E">
      <w:pPr>
        <w:pStyle w:val="vlevo"/>
        <w:rPr>
          <w:bCs/>
          <w:szCs w:val="24"/>
        </w:rPr>
      </w:pPr>
      <w:r w:rsidRPr="00887246">
        <w:rPr>
          <w:szCs w:val="24"/>
        </w:rPr>
        <w:t xml:space="preserve">Termín: </w:t>
      </w:r>
      <w:r w:rsidR="004F4EA6" w:rsidRPr="00887246">
        <w:t>3</w:t>
      </w:r>
      <w:r w:rsidR="00B6220E" w:rsidRPr="00887246">
        <w:t>0</w:t>
      </w:r>
      <w:r w:rsidR="004F4EA6" w:rsidRPr="00887246">
        <w:t xml:space="preserve">. </w:t>
      </w:r>
      <w:r w:rsidR="005C0E72" w:rsidRPr="00887246">
        <w:t>1</w:t>
      </w:r>
      <w:r w:rsidR="00D32777" w:rsidRPr="00887246">
        <w:t>2</w:t>
      </w:r>
      <w:r w:rsidR="004F4EA6" w:rsidRPr="00887246">
        <w:t>. 20</w:t>
      </w:r>
      <w:r w:rsidR="00B6220E" w:rsidRPr="00887246">
        <w:t>20</w:t>
      </w:r>
      <w:r w:rsidR="00577C2C" w:rsidRPr="00887246">
        <w:tab/>
      </w:r>
      <w:r w:rsidR="008E0D69" w:rsidRPr="00887246">
        <w:rPr>
          <w:szCs w:val="24"/>
        </w:rPr>
        <w:tab/>
      </w:r>
      <w:r w:rsidRPr="00887246">
        <w:rPr>
          <w:szCs w:val="24"/>
        </w:rPr>
        <w:t>Zodpovídá:</w:t>
      </w:r>
      <w:r w:rsidRPr="00887246">
        <w:rPr>
          <w:szCs w:val="24"/>
        </w:rPr>
        <w:tab/>
      </w:r>
      <w:r w:rsidRPr="00887246">
        <w:t>Bc. David Šlouf</w:t>
      </w:r>
      <w:r w:rsidRPr="00887246">
        <w:rPr>
          <w:bCs/>
          <w:szCs w:val="24"/>
        </w:rPr>
        <w:t>,</w:t>
      </w:r>
      <w:r w:rsidR="008E0D69" w:rsidRPr="00887246">
        <w:rPr>
          <w:bCs/>
          <w:szCs w:val="24"/>
        </w:rPr>
        <w:t xml:space="preserve"> MBA,</w:t>
      </w:r>
      <w:r w:rsidRPr="00887246">
        <w:rPr>
          <w:bCs/>
          <w:szCs w:val="24"/>
        </w:rPr>
        <w:t xml:space="preserve"> </w:t>
      </w:r>
      <w:r w:rsidRPr="00887246">
        <w:t>člen Rady města Plzně</w:t>
      </w:r>
    </w:p>
    <w:p w:rsidR="0053371F" w:rsidRPr="00887246" w:rsidRDefault="0053371F" w:rsidP="0073369E">
      <w:pPr>
        <w:pStyle w:val="vlevo"/>
      </w:pPr>
      <w:r w:rsidRPr="00887246">
        <w:tab/>
      </w:r>
      <w:r w:rsidRPr="00887246">
        <w:tab/>
      </w:r>
      <w:r w:rsidRPr="00887246">
        <w:tab/>
      </w:r>
      <w:r w:rsidRPr="00887246">
        <w:tab/>
      </w:r>
      <w:r w:rsidRPr="00887246">
        <w:tab/>
      </w:r>
      <w:r w:rsidRPr="00887246">
        <w:tab/>
      </w:r>
      <w:r w:rsidR="0073369E" w:rsidRPr="00887246">
        <w:tab/>
      </w:r>
      <w:r w:rsidR="0073369E" w:rsidRPr="00887246">
        <w:tab/>
      </w:r>
      <w:r w:rsidR="0073369E" w:rsidRPr="00887246">
        <w:tab/>
      </w:r>
      <w:r w:rsidR="0073369E" w:rsidRPr="00887246">
        <w:tab/>
      </w:r>
      <w:r w:rsidR="0073369E" w:rsidRPr="00887246">
        <w:tab/>
      </w:r>
      <w:r w:rsidRPr="00887246">
        <w:t>Ing. Z. Švarc, vedoucí BYT MMP</w:t>
      </w:r>
    </w:p>
    <w:p w:rsidR="00B43CDA" w:rsidRPr="00862821" w:rsidRDefault="00B43CDA" w:rsidP="00874AAD">
      <w:pPr>
        <w:pStyle w:val="ostzahl"/>
      </w:pPr>
      <w:r w:rsidRPr="00887246">
        <w:t xml:space="preserve">Dříve vydaná usnesení orgánů města nebo městských obvodů, která </w:t>
      </w:r>
      <w:r w:rsidRPr="00862821">
        <w:t>s tímto návrhem souvisí</w:t>
      </w:r>
    </w:p>
    <w:p w:rsidR="00B43CDA" w:rsidRPr="00862821" w:rsidRDefault="00456F07" w:rsidP="0073369E">
      <w:pPr>
        <w:pStyle w:val="vlevo"/>
      </w:pPr>
      <w:r w:rsidRPr="00862821">
        <w:t>Usnesení Rady města Plzně č.</w:t>
      </w:r>
      <w:r w:rsidR="00887246" w:rsidRPr="00862821">
        <w:t xml:space="preserve"> </w:t>
      </w:r>
      <w:r w:rsidR="00C663F6">
        <w:t>994</w:t>
      </w:r>
      <w:r w:rsidR="00862821" w:rsidRPr="00862821">
        <w:t xml:space="preserve"> </w:t>
      </w:r>
      <w:r w:rsidRPr="00862821">
        <w:t xml:space="preserve">ze dne </w:t>
      </w:r>
      <w:r w:rsidR="006D1753" w:rsidRPr="00862821">
        <w:t>2</w:t>
      </w:r>
      <w:r w:rsidR="00887246" w:rsidRPr="00862821">
        <w:t>6</w:t>
      </w:r>
      <w:r w:rsidRPr="00862821">
        <w:t xml:space="preserve">. </w:t>
      </w:r>
      <w:r w:rsidR="00887246" w:rsidRPr="00862821">
        <w:t>10</w:t>
      </w:r>
      <w:r w:rsidRPr="00862821">
        <w:t>. 2020</w:t>
      </w:r>
    </w:p>
    <w:p w:rsidR="001300FA" w:rsidRDefault="00AA398E" w:rsidP="0073369E">
      <w:pPr>
        <w:pStyle w:val="vlevo"/>
      </w:pPr>
      <w:hyperlink r:id="rId9" w:history="1">
        <w:r w:rsidRPr="00E96FC1">
          <w:rPr>
            <w:rStyle w:val="Hypertextovodkaz"/>
          </w:rPr>
          <w:t>https://usneseni.plzen.eu/bin_Soubor.php?id=101901</w:t>
        </w:r>
      </w:hyperlink>
    </w:p>
    <w:p w:rsidR="004F4EA6" w:rsidRPr="006D243C" w:rsidRDefault="004F4EA6" w:rsidP="00874AAD">
      <w:pPr>
        <w:pStyle w:val="ostzahl"/>
        <w:rPr>
          <w:highlight w:val="yellow"/>
        </w:rPr>
      </w:pPr>
      <w:bookmarkStart w:id="0" w:name="_GoBack"/>
      <w:bookmarkEnd w:id="0"/>
      <w:r w:rsidRPr="006D243C">
        <w:rPr>
          <w:highlight w:val="yellow"/>
        </w:rPr>
        <w:lastRenderedPageBreak/>
        <w:t>Závazky či pohledávky vůči městu Plzni</w:t>
      </w:r>
    </w:p>
    <w:p w:rsidR="005C0E72" w:rsidRPr="00887246" w:rsidRDefault="00887246" w:rsidP="00EE5A9E">
      <w:pPr>
        <w:pStyle w:val="vlevo"/>
      </w:pPr>
      <w:r w:rsidRPr="00DC6D9E">
        <w:rPr>
          <w:highlight w:val="yellow"/>
        </w:rPr>
        <w:t>Božena Čonková, datum narození 19. 12. 1980, trvale bytem v Plzni, Kotkova 23</w:t>
      </w:r>
      <w:r w:rsidRPr="00FE70BD">
        <w:t xml:space="preserve">, dluh na poplatcích z prodlení ve výši </w:t>
      </w:r>
      <w:r w:rsidRPr="00FE70BD">
        <w:rPr>
          <w:bCs/>
        </w:rPr>
        <w:t>797 992 Kč</w:t>
      </w:r>
      <w:r w:rsidRPr="00FE70BD">
        <w:t xml:space="preserve">, který vznikl pozdní úhradou nájemného a záloh na služby za období 1/2006-2/2009 a nedoplatku na vyúčtování záloh na služby za roky 2005, 2006, 2008 a 2009 v souvislosti s užíváním bytu č. 23, Resslova 13, Plzeň, jehož byl nájemcem a následně uživatelem do 28. 2. 2009; dále s tím souvisí dluh na nákladech řízení v celkové výši 55 343,30 Kč ze tří soudních </w:t>
      </w:r>
      <w:r w:rsidRPr="00887246">
        <w:t>sporů a náklady oprávněného ze dvou exekucí jsou v pravděpodobné (zatímní) výši celkem 26 542,20 Kč</w:t>
      </w:r>
      <w:r w:rsidR="0040382B" w:rsidRPr="00887246">
        <w:t>.</w:t>
      </w:r>
    </w:p>
    <w:p w:rsidR="0073369E" w:rsidRPr="00887246" w:rsidRDefault="0073369E" w:rsidP="00577C2C">
      <w:pPr>
        <w:pStyle w:val="vlevo"/>
        <w:ind w:left="340"/>
      </w:pPr>
    </w:p>
    <w:p w:rsidR="004F4EA6" w:rsidRPr="00887246" w:rsidRDefault="004F4EA6" w:rsidP="0073369E">
      <w:pPr>
        <w:pStyle w:val="vlevo"/>
      </w:pPr>
      <w:r w:rsidRPr="00887246">
        <w:t xml:space="preserve">k datu </w:t>
      </w:r>
      <w:r w:rsidR="00771B65" w:rsidRPr="00887246">
        <w:t>2</w:t>
      </w:r>
      <w:r w:rsidR="0040382B" w:rsidRPr="00887246">
        <w:t>6</w:t>
      </w:r>
      <w:r w:rsidRPr="00887246">
        <w:t xml:space="preserve">. </w:t>
      </w:r>
      <w:r w:rsidR="00887246" w:rsidRPr="00887246">
        <w:t>10</w:t>
      </w:r>
      <w:r w:rsidRPr="00887246">
        <w:t>. 20</w:t>
      </w:r>
      <w:r w:rsidR="00B6220E" w:rsidRPr="00887246">
        <w:t>20</w:t>
      </w:r>
    </w:p>
    <w:p w:rsidR="004F4EA6" w:rsidRPr="00887246" w:rsidRDefault="004F4EA6" w:rsidP="0073369E">
      <w:pPr>
        <w:pStyle w:val="vlevo"/>
      </w:pPr>
      <w:r w:rsidRPr="00887246">
        <w:t xml:space="preserve">Vypracovala: </w:t>
      </w:r>
      <w:r w:rsidR="006A4819" w:rsidRPr="00887246">
        <w:t xml:space="preserve">Mgr. </w:t>
      </w:r>
      <w:r w:rsidRPr="00887246">
        <w:t>Bc. Alena Breitfelderová</w:t>
      </w:r>
    </w:p>
    <w:p w:rsidR="00525F5F" w:rsidRPr="00887246" w:rsidRDefault="00525F5F" w:rsidP="0073369E">
      <w:pPr>
        <w:pStyle w:val="vlevo"/>
      </w:pPr>
    </w:p>
    <w:p w:rsidR="004F4EA6" w:rsidRPr="00887246" w:rsidRDefault="004F4EA6" w:rsidP="00874AAD">
      <w:pPr>
        <w:pStyle w:val="ostzahl"/>
      </w:pPr>
      <w:r w:rsidRPr="00887246">
        <w:t>Přílohy</w:t>
      </w:r>
    </w:p>
    <w:p w:rsidR="004F4EA6" w:rsidRPr="00887246" w:rsidRDefault="000B6174" w:rsidP="0073369E">
      <w:pPr>
        <w:pStyle w:val="vlevo"/>
        <w:numPr>
          <w:ilvl w:val="0"/>
          <w:numId w:val="13"/>
        </w:numPr>
      </w:pPr>
      <w:r w:rsidRPr="00887246">
        <w:t>Zápis z Komise bytové RMP</w:t>
      </w:r>
      <w:r w:rsidR="004F4EA6" w:rsidRPr="00887246">
        <w:t>;</w:t>
      </w:r>
    </w:p>
    <w:p w:rsidR="00525F5F" w:rsidRPr="00887246" w:rsidRDefault="000B6174" w:rsidP="0073369E">
      <w:pPr>
        <w:pStyle w:val="vlevo"/>
        <w:numPr>
          <w:ilvl w:val="0"/>
          <w:numId w:val="13"/>
        </w:numPr>
      </w:pPr>
      <w:r w:rsidRPr="00887246">
        <w:t>Zápis z Finanční komise RMP</w:t>
      </w:r>
      <w:r w:rsidR="00456F07" w:rsidRPr="00887246">
        <w:t>.</w:t>
      </w:r>
    </w:p>
    <w:sectPr w:rsidR="00525F5F" w:rsidRPr="00887246" w:rsidSect="006834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567397"/>
    <w:multiLevelType w:val="hybridMultilevel"/>
    <w:tmpl w:val="86362662"/>
    <w:lvl w:ilvl="0" w:tplc="2A72D7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3129"/>
    <w:multiLevelType w:val="hybridMultilevel"/>
    <w:tmpl w:val="D48E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8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"/>
  </w:num>
  <w:num w:numId="5">
    <w:abstractNumId w:val="21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22"/>
  </w:num>
  <w:num w:numId="11">
    <w:abstractNumId w:val="2"/>
  </w:num>
  <w:num w:numId="12">
    <w:abstractNumId w:val="6"/>
  </w:num>
  <w:num w:numId="13">
    <w:abstractNumId w:val="11"/>
  </w:num>
  <w:num w:numId="14">
    <w:abstractNumId w:val="18"/>
  </w:num>
  <w:num w:numId="15">
    <w:abstractNumId w:val="10"/>
  </w:num>
  <w:num w:numId="16">
    <w:abstractNumId w:val="3"/>
  </w:num>
  <w:num w:numId="17">
    <w:abstractNumId w:val="24"/>
  </w:num>
  <w:num w:numId="18">
    <w:abstractNumId w:val="9"/>
  </w:num>
  <w:num w:numId="19">
    <w:abstractNumId w:val="13"/>
  </w:num>
  <w:num w:numId="20">
    <w:abstractNumId w:val="20"/>
  </w:num>
  <w:num w:numId="21">
    <w:abstractNumId w:val="23"/>
  </w:num>
  <w:num w:numId="22">
    <w:abstractNumId w:val="15"/>
  </w:num>
  <w:num w:numId="23">
    <w:abstractNumId w:val="16"/>
  </w:num>
  <w:num w:numId="24">
    <w:abstractNumId w:val="12"/>
  </w:num>
  <w:num w:numId="2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805FB"/>
    <w:rsid w:val="000B508C"/>
    <w:rsid w:val="000B6174"/>
    <w:rsid w:val="000C7F7C"/>
    <w:rsid w:val="000D4336"/>
    <w:rsid w:val="000E0379"/>
    <w:rsid w:val="000E5232"/>
    <w:rsid w:val="00112725"/>
    <w:rsid w:val="00127421"/>
    <w:rsid w:val="00127790"/>
    <w:rsid w:val="001300FA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B79C6"/>
    <w:rsid w:val="001C53E6"/>
    <w:rsid w:val="001E0138"/>
    <w:rsid w:val="001F5D7A"/>
    <w:rsid w:val="002002CE"/>
    <w:rsid w:val="002035A6"/>
    <w:rsid w:val="002076F3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2B39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1F2B"/>
    <w:rsid w:val="003F37FF"/>
    <w:rsid w:val="003F773F"/>
    <w:rsid w:val="00400E95"/>
    <w:rsid w:val="0040382B"/>
    <w:rsid w:val="00404218"/>
    <w:rsid w:val="00412EC1"/>
    <w:rsid w:val="004406CF"/>
    <w:rsid w:val="00446A3B"/>
    <w:rsid w:val="00450277"/>
    <w:rsid w:val="00456F07"/>
    <w:rsid w:val="00461B0C"/>
    <w:rsid w:val="004658B5"/>
    <w:rsid w:val="00475DD6"/>
    <w:rsid w:val="0047751B"/>
    <w:rsid w:val="004A4903"/>
    <w:rsid w:val="004B2513"/>
    <w:rsid w:val="004C1E28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C0E72"/>
    <w:rsid w:val="005D474E"/>
    <w:rsid w:val="005F1E35"/>
    <w:rsid w:val="005F35E0"/>
    <w:rsid w:val="00604463"/>
    <w:rsid w:val="00610B84"/>
    <w:rsid w:val="00622F53"/>
    <w:rsid w:val="0064731C"/>
    <w:rsid w:val="0065504D"/>
    <w:rsid w:val="00655B66"/>
    <w:rsid w:val="0068345C"/>
    <w:rsid w:val="006A4819"/>
    <w:rsid w:val="006A7FF1"/>
    <w:rsid w:val="006B28C2"/>
    <w:rsid w:val="006B596E"/>
    <w:rsid w:val="006C0682"/>
    <w:rsid w:val="006D083C"/>
    <w:rsid w:val="006D1753"/>
    <w:rsid w:val="006D243C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71B65"/>
    <w:rsid w:val="00771F8F"/>
    <w:rsid w:val="00785DAB"/>
    <w:rsid w:val="00787CF5"/>
    <w:rsid w:val="007A05BC"/>
    <w:rsid w:val="007A5346"/>
    <w:rsid w:val="007A7670"/>
    <w:rsid w:val="007C0171"/>
    <w:rsid w:val="007C15EB"/>
    <w:rsid w:val="007C65E2"/>
    <w:rsid w:val="007D3BAA"/>
    <w:rsid w:val="007E1ADE"/>
    <w:rsid w:val="007E5317"/>
    <w:rsid w:val="0080241C"/>
    <w:rsid w:val="008036CB"/>
    <w:rsid w:val="00805451"/>
    <w:rsid w:val="00811943"/>
    <w:rsid w:val="00837373"/>
    <w:rsid w:val="00837697"/>
    <w:rsid w:val="00841121"/>
    <w:rsid w:val="00846C6B"/>
    <w:rsid w:val="0085075D"/>
    <w:rsid w:val="00851DA9"/>
    <w:rsid w:val="00861694"/>
    <w:rsid w:val="00862821"/>
    <w:rsid w:val="00871509"/>
    <w:rsid w:val="00874AAD"/>
    <w:rsid w:val="0087627A"/>
    <w:rsid w:val="00876BDA"/>
    <w:rsid w:val="00877766"/>
    <w:rsid w:val="00877CE5"/>
    <w:rsid w:val="008850B5"/>
    <w:rsid w:val="00887246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A398E"/>
    <w:rsid w:val="00AB63C3"/>
    <w:rsid w:val="00AB7807"/>
    <w:rsid w:val="00AD07FB"/>
    <w:rsid w:val="00AD0910"/>
    <w:rsid w:val="00AD2E97"/>
    <w:rsid w:val="00AE1409"/>
    <w:rsid w:val="00AE2CE5"/>
    <w:rsid w:val="00AF048E"/>
    <w:rsid w:val="00AF490D"/>
    <w:rsid w:val="00B119E9"/>
    <w:rsid w:val="00B13E6F"/>
    <w:rsid w:val="00B152C4"/>
    <w:rsid w:val="00B15527"/>
    <w:rsid w:val="00B15E88"/>
    <w:rsid w:val="00B2035C"/>
    <w:rsid w:val="00B27D7C"/>
    <w:rsid w:val="00B323CC"/>
    <w:rsid w:val="00B36B6C"/>
    <w:rsid w:val="00B42606"/>
    <w:rsid w:val="00B43CDA"/>
    <w:rsid w:val="00B44B80"/>
    <w:rsid w:val="00B455E9"/>
    <w:rsid w:val="00B45D82"/>
    <w:rsid w:val="00B54166"/>
    <w:rsid w:val="00B6220E"/>
    <w:rsid w:val="00B73048"/>
    <w:rsid w:val="00B74C1E"/>
    <w:rsid w:val="00B76DAE"/>
    <w:rsid w:val="00B80209"/>
    <w:rsid w:val="00B804BA"/>
    <w:rsid w:val="00B806E8"/>
    <w:rsid w:val="00B93DB2"/>
    <w:rsid w:val="00B9746A"/>
    <w:rsid w:val="00BA2EC3"/>
    <w:rsid w:val="00BB363A"/>
    <w:rsid w:val="00BB4F3A"/>
    <w:rsid w:val="00BC0C61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663F6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2B0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2777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4419A"/>
    <w:rsid w:val="00E568BA"/>
    <w:rsid w:val="00E60294"/>
    <w:rsid w:val="00E63934"/>
    <w:rsid w:val="00E75FBE"/>
    <w:rsid w:val="00E76D71"/>
    <w:rsid w:val="00E81DFA"/>
    <w:rsid w:val="00EA3FE6"/>
    <w:rsid w:val="00EC066C"/>
    <w:rsid w:val="00EC1799"/>
    <w:rsid w:val="00ED181A"/>
    <w:rsid w:val="00EE4055"/>
    <w:rsid w:val="00EE5A9E"/>
    <w:rsid w:val="00F10BB7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87627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17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87627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1019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5159-FDAA-4D6F-B123-B444F6E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135</TotalTime>
  <Pages>3</Pages>
  <Words>891</Words>
  <Characters>4626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78</cp:revision>
  <cp:lastPrinted>2020-03-10T08:25:00Z</cp:lastPrinted>
  <dcterms:created xsi:type="dcterms:W3CDTF">2017-08-10T13:37:00Z</dcterms:created>
  <dcterms:modified xsi:type="dcterms:W3CDTF">2020-10-27T08:59:00Z</dcterms:modified>
</cp:coreProperties>
</file>