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1E" w:rsidRPr="002A6DE5" w:rsidRDefault="00A9721E" w:rsidP="00A9721E">
      <w:pPr>
        <w:pStyle w:val="nadpcent"/>
      </w:pPr>
      <w:r w:rsidRPr="002A6DE5">
        <w:t>Důvodová zpráva</w:t>
      </w:r>
    </w:p>
    <w:p w:rsidR="00D415BB" w:rsidRDefault="00D415BB">
      <w:pPr>
        <w:pStyle w:val="ostzahl"/>
      </w:pPr>
      <w:r>
        <w:t>Název problému a jeho charakteristika</w:t>
      </w:r>
    </w:p>
    <w:p w:rsidR="00184C1B" w:rsidRPr="008B3130" w:rsidRDefault="00184C1B" w:rsidP="008B3130">
      <w:pPr>
        <w:pStyle w:val="vlevo"/>
      </w:pPr>
      <w:r>
        <w:rPr>
          <w:szCs w:val="24"/>
        </w:rPr>
        <w:t xml:space="preserve">Poskytnutí </w:t>
      </w:r>
      <w:r w:rsidR="0092667F">
        <w:rPr>
          <w:szCs w:val="24"/>
        </w:rPr>
        <w:t xml:space="preserve">podpory </w:t>
      </w:r>
      <w:r w:rsidRPr="00F40202">
        <w:rPr>
          <w:szCs w:val="24"/>
        </w:rPr>
        <w:t>plátcům poplatku</w:t>
      </w:r>
      <w:r>
        <w:rPr>
          <w:szCs w:val="24"/>
        </w:rPr>
        <w:t xml:space="preserve"> z</w:t>
      </w:r>
      <w:r w:rsidR="0092667F">
        <w:rPr>
          <w:szCs w:val="24"/>
        </w:rPr>
        <w:t> </w:t>
      </w:r>
      <w:r>
        <w:rPr>
          <w:szCs w:val="24"/>
        </w:rPr>
        <w:t>pobytu</w:t>
      </w:r>
      <w:r w:rsidR="0092667F">
        <w:rPr>
          <w:szCs w:val="24"/>
        </w:rPr>
        <w:t xml:space="preserve"> ve formě daru na základě záměru sc</w:t>
      </w:r>
      <w:r w:rsidR="00EE39BE">
        <w:rPr>
          <w:szCs w:val="24"/>
        </w:rPr>
        <w:t>hváleného Zastupitelstvem města.</w:t>
      </w:r>
    </w:p>
    <w:p w:rsidR="00346C94" w:rsidRDefault="00D415BB" w:rsidP="00F05AFF">
      <w:pPr>
        <w:pStyle w:val="ostzahl"/>
      </w:pPr>
      <w:r>
        <w:t>Konstatování současného stavu a jeho analýza</w:t>
      </w:r>
    </w:p>
    <w:p w:rsidR="009D7632" w:rsidRPr="009D7632" w:rsidRDefault="009D7632" w:rsidP="009D7632">
      <w:pPr>
        <w:pStyle w:val="ostzahl"/>
        <w:numPr>
          <w:ilvl w:val="0"/>
          <w:numId w:val="0"/>
        </w:numPr>
        <w:jc w:val="both"/>
        <w:rPr>
          <w:b w:val="0"/>
          <w:spacing w:val="0"/>
          <w:szCs w:val="24"/>
        </w:rPr>
      </w:pPr>
      <w:r w:rsidRPr="009D7632">
        <w:rPr>
          <w:b w:val="0"/>
          <w:spacing w:val="0"/>
          <w:szCs w:val="24"/>
        </w:rPr>
        <w:t>Usnesení</w:t>
      </w:r>
      <w:r>
        <w:rPr>
          <w:b w:val="0"/>
          <w:spacing w:val="0"/>
          <w:szCs w:val="24"/>
        </w:rPr>
        <w:t>m</w:t>
      </w:r>
      <w:r w:rsidRPr="009D7632">
        <w:rPr>
          <w:b w:val="0"/>
          <w:spacing w:val="0"/>
          <w:szCs w:val="24"/>
        </w:rPr>
        <w:t xml:space="preserve"> RMP č. 296 ze dne 15. 4. 2020</w:t>
      </w:r>
      <w:r>
        <w:rPr>
          <w:b w:val="0"/>
          <w:spacing w:val="0"/>
          <w:szCs w:val="24"/>
        </w:rPr>
        <w:t xml:space="preserve"> byl</w:t>
      </w:r>
      <w:r w:rsidRPr="009D7632">
        <w:rPr>
          <w:b w:val="0"/>
          <w:spacing w:val="0"/>
          <w:szCs w:val="24"/>
        </w:rPr>
        <w:t xml:space="preserve"> v rámci souboru opatření pro zmírnění negativních dopadů koronavirové krize na území města jako opatření č. 3 schválen záměr prodloužení splatnosti místního poplatku</w:t>
      </w:r>
      <w:r>
        <w:rPr>
          <w:b w:val="0"/>
          <w:spacing w:val="0"/>
          <w:szCs w:val="24"/>
        </w:rPr>
        <w:t xml:space="preserve"> z pobytu </w:t>
      </w:r>
      <w:r w:rsidRPr="009D7632">
        <w:rPr>
          <w:b w:val="0"/>
          <w:spacing w:val="0"/>
          <w:szCs w:val="24"/>
        </w:rPr>
        <w:t xml:space="preserve">pro rok 2020.  </w:t>
      </w:r>
      <w:r>
        <w:rPr>
          <w:b w:val="0"/>
          <w:spacing w:val="0"/>
          <w:szCs w:val="24"/>
        </w:rPr>
        <w:t xml:space="preserve">V souvislosti se schváleným záměrem bylo schváleno usnesením ZMP č. 67 ze dne 27. 4. 2020 formou novely vyhlášky prodloužení splatnosti místního poplatku z pobytu pro rok 2020 na 31. 10. 2020. </w:t>
      </w:r>
    </w:p>
    <w:p w:rsidR="009D7632" w:rsidRPr="009D7632" w:rsidRDefault="009D7632" w:rsidP="009D7632">
      <w:pPr>
        <w:pStyle w:val="vlevo"/>
      </w:pPr>
    </w:p>
    <w:p w:rsidR="006D1C30" w:rsidRDefault="006D1C30" w:rsidP="006D1C30">
      <w:pPr>
        <w:jc w:val="both"/>
      </w:pPr>
      <w:r w:rsidRPr="006D1C30">
        <w:t>Zastupitelstvo města Plzně svým usnesením č. 10 ze dne 8. 2. 2021 rozhodlo za účelem zmírnění negativních ekonomických dopadů koronavirové krize do sektoru cestovního ruchu poskytnout podporu provozovatelům ubytovacích zařízení na území města Plzně. S účinností k 9. 2. 2021 byla zrušena vyhláška č. 10/2019, o místním poplatku z pobytu a byl schválen záměr poskytnutí finančních darů pro poskytovatele úplatného pobytu, kteří v souladu se zmíněnou vyhláškou</w:t>
      </w:r>
      <w:r>
        <w:t xml:space="preserve"> </w:t>
      </w:r>
      <w:r w:rsidRPr="006D1C30">
        <w:t xml:space="preserve">č. 10/2019 odvedli místní poplatek z pobytu za období od 1. 1. 2020 do 8. 2. 2021, a to ve výši odvedeného poplatku z pobytu. </w:t>
      </w:r>
    </w:p>
    <w:p w:rsidR="006D1C30" w:rsidRDefault="006D1C30" w:rsidP="006D1C30">
      <w:pPr>
        <w:jc w:val="both"/>
      </w:pPr>
    </w:p>
    <w:p w:rsidR="00A66039" w:rsidRPr="003E569E" w:rsidRDefault="006D1C30" w:rsidP="00A66039">
      <w:pPr>
        <w:jc w:val="both"/>
      </w:pPr>
      <w:r>
        <w:t>Žadatelé</w:t>
      </w:r>
      <w:r w:rsidR="003F5C08">
        <w:t xml:space="preserve">, kteří </w:t>
      </w:r>
      <w:r>
        <w:t>splnili podmínky pro poskytnutí daru</w:t>
      </w:r>
      <w:r w:rsidR="003F5C08">
        <w:t>,</w:t>
      </w:r>
      <w:r w:rsidR="00A01001">
        <w:t xml:space="preserve"> </w:t>
      </w:r>
      <w:r w:rsidR="003F5C08">
        <w:t>p</w:t>
      </w:r>
      <w:r>
        <w:t>odali žá</w:t>
      </w:r>
      <w:r w:rsidR="00A66039">
        <w:t>dost o poskytnutí finančního dar</w:t>
      </w:r>
      <w:r>
        <w:t xml:space="preserve">u a doložili řádně vyplněné </w:t>
      </w:r>
      <w:r w:rsidR="00A66039">
        <w:t>„Č</w:t>
      </w:r>
      <w:r>
        <w:t>estné prohlášení žadatele o podporu v režimu de minimis</w:t>
      </w:r>
      <w:r w:rsidR="00A66039">
        <w:t>“</w:t>
      </w:r>
      <w:r>
        <w:t xml:space="preserve">. </w:t>
      </w:r>
      <w:r w:rsidR="003F5C08">
        <w:t>Vyplacením daru bude ž</w:t>
      </w:r>
      <w:r w:rsidR="009C70EE">
        <w:t>adatelům bude</w:t>
      </w:r>
      <w:r w:rsidR="00A66039" w:rsidRPr="003E569E">
        <w:t xml:space="preserve"> </w:t>
      </w:r>
      <w:r w:rsidR="00A66039" w:rsidRPr="00A66039">
        <w:t>poskytnuta veřejná podpora malého rozsahu tzv</w:t>
      </w:r>
      <w:r w:rsidR="00A66039" w:rsidRPr="003E569E">
        <w:t xml:space="preserve">. de minimis ve smyslu Nařízení Evropské komise č. 1407/2013 ze dne 18. prosince 2013 uveřejněného v Úředním věstníku Evropské unie L 352 ze dne 24. prosince 2013 ve výši </w:t>
      </w:r>
      <w:r w:rsidR="00A66039" w:rsidRPr="00042CEF">
        <w:t>částky poskytnutého daru</w:t>
      </w:r>
      <w:r w:rsidR="00A66039" w:rsidRPr="003E569E">
        <w:t xml:space="preserve">. </w:t>
      </w:r>
      <w:r w:rsidR="00A66039">
        <w:t xml:space="preserve">Poskytnutá </w:t>
      </w:r>
      <w:r w:rsidR="00A66039" w:rsidRPr="003E569E">
        <w:t>podpor</w:t>
      </w:r>
      <w:r w:rsidR="00A66039">
        <w:t>a</w:t>
      </w:r>
      <w:r w:rsidR="00A66039" w:rsidRPr="003E569E">
        <w:t xml:space="preserve"> de minimis</w:t>
      </w:r>
      <w:r w:rsidR="00A66039">
        <w:t xml:space="preserve"> bude</w:t>
      </w:r>
      <w:r w:rsidR="00924108">
        <w:t xml:space="preserve"> </w:t>
      </w:r>
      <w:r w:rsidR="00924108" w:rsidRPr="003E569E">
        <w:t>u všech obdarovaných</w:t>
      </w:r>
      <w:r w:rsidR="003F5C08">
        <w:t xml:space="preserve"> ve výši</w:t>
      </w:r>
      <w:r w:rsidR="00924108" w:rsidRPr="003E569E">
        <w:t xml:space="preserve"> částky finančního daru</w:t>
      </w:r>
      <w:r w:rsidR="00A66039" w:rsidRPr="003E569E">
        <w:t xml:space="preserve"> zaznamen</w:t>
      </w:r>
      <w:r w:rsidR="00A66039">
        <w:t>aná</w:t>
      </w:r>
      <w:r w:rsidR="00A66039" w:rsidRPr="003E569E">
        <w:t xml:space="preserve"> do Centrálního registru podpor de minimis, a to ve lhůtě 5 pracovních dní ode dne</w:t>
      </w:r>
      <w:r w:rsidR="00EE39BE">
        <w:t xml:space="preserve"> poskytnutí podpory de minimis.</w:t>
      </w:r>
    </w:p>
    <w:p w:rsidR="00A66039" w:rsidRDefault="00A66039" w:rsidP="00A66039">
      <w:pPr>
        <w:jc w:val="both"/>
        <w:rPr>
          <w:b/>
        </w:rPr>
      </w:pPr>
    </w:p>
    <w:p w:rsidR="006D1C30" w:rsidRDefault="00A66039" w:rsidP="00A66039">
      <w:pPr>
        <w:jc w:val="both"/>
      </w:pPr>
      <w:r>
        <w:t>Žadatelé o</w:t>
      </w:r>
      <w:r w:rsidR="006D1C30">
        <w:t>dvedli veškeré splatné poplatk</w:t>
      </w:r>
      <w:r w:rsidR="00924108">
        <w:t>y</w:t>
      </w:r>
      <w:r w:rsidR="006D1C30">
        <w:t xml:space="preserve"> z</w:t>
      </w:r>
      <w:r>
        <w:t> </w:t>
      </w:r>
      <w:r w:rsidR="006D1C30">
        <w:t>pobytu</w:t>
      </w:r>
      <w:r>
        <w:t>,</w:t>
      </w:r>
      <w:r w:rsidR="006D1C30">
        <w:t xml:space="preserve"> včetně poplatků za období od 1.</w:t>
      </w:r>
      <w:r w:rsidR="00CC334E">
        <w:t xml:space="preserve"> </w:t>
      </w:r>
      <w:r w:rsidR="006D1C30">
        <w:t>1.</w:t>
      </w:r>
      <w:r w:rsidR="00CC334E">
        <w:t xml:space="preserve"> </w:t>
      </w:r>
      <w:r w:rsidR="006D1C30">
        <w:t>2020 do 8.</w:t>
      </w:r>
      <w:r w:rsidR="00CC334E">
        <w:t xml:space="preserve"> </w:t>
      </w:r>
      <w:r w:rsidR="006D1C30">
        <w:t>2.</w:t>
      </w:r>
      <w:r w:rsidR="00CC334E">
        <w:t xml:space="preserve"> </w:t>
      </w:r>
      <w:r w:rsidR="006D1C30">
        <w:t>2021</w:t>
      </w:r>
      <w:r>
        <w:t xml:space="preserve">. </w:t>
      </w:r>
    </w:p>
    <w:p w:rsidR="006D1C30" w:rsidRDefault="006D1C30" w:rsidP="006D1C30">
      <w:pPr>
        <w:pStyle w:val="Odstavecseseznamem"/>
        <w:jc w:val="both"/>
        <w:rPr>
          <w:rFonts w:ascii="Times New Roman" w:hAnsi="Times New Roman"/>
          <w:sz w:val="24"/>
        </w:rPr>
      </w:pPr>
    </w:p>
    <w:p w:rsidR="008A1A69" w:rsidRDefault="006D1C30" w:rsidP="008A1A69">
      <w:pPr>
        <w:jc w:val="both"/>
      </w:pPr>
      <w:r w:rsidRPr="003E569E">
        <w:t>Po schválení poskytnutí finančního daru</w:t>
      </w:r>
      <w:r w:rsidR="0092667F">
        <w:t xml:space="preserve"> v orgánech města</w:t>
      </w:r>
      <w:r w:rsidRPr="003E569E">
        <w:t xml:space="preserve"> bude </w:t>
      </w:r>
      <w:r w:rsidR="0092667F">
        <w:t xml:space="preserve">s žadateli </w:t>
      </w:r>
      <w:r w:rsidRPr="003E569E">
        <w:t>uzavřena darovací smlouva</w:t>
      </w:r>
      <w:r>
        <w:t xml:space="preserve">, </w:t>
      </w:r>
      <w:r w:rsidRPr="003E569E">
        <w:t xml:space="preserve">na základě které bude finanční dar </w:t>
      </w:r>
      <w:r w:rsidR="0092667F">
        <w:t>uhrazen</w:t>
      </w:r>
      <w:r w:rsidRPr="003E569E">
        <w:t xml:space="preserve"> na bankovní účet uvede</w:t>
      </w:r>
      <w:r>
        <w:t>ný</w:t>
      </w:r>
      <w:r w:rsidRPr="003E569E">
        <w:t xml:space="preserve"> v žádosti. </w:t>
      </w:r>
      <w:r>
        <w:t>Součástí</w:t>
      </w:r>
      <w:r w:rsidRPr="003E569E">
        <w:t xml:space="preserve"> darovací smlouvy </w:t>
      </w:r>
      <w:r w:rsidRPr="008A1A69">
        <w:t xml:space="preserve">bude čestné prohlášení obdarovaného, že obdarovaný </w:t>
      </w:r>
      <w:bookmarkStart w:id="0" w:name="_Hlk63679338"/>
      <w:r w:rsidRPr="008A1A69">
        <w:t>nemá vůči městu Plzni, jeho organizačním složkám a jeho příspěvkovým organizacím žádné nesplacené závazky po lhůtě</w:t>
      </w:r>
      <w:r w:rsidRPr="003E569E">
        <w:t xml:space="preserve"> splatnosti</w:t>
      </w:r>
      <w:r>
        <w:t>,</w:t>
      </w:r>
      <w:r w:rsidRPr="003E569E">
        <w:t xml:space="preserve"> a že obdarovaný není s městem Plzní nebo jeho příspěvkovými organizacemi v soudním sporu vyjma soudních sporů za zrušení správních rozhodnutí vydaných v přenesené působnosti. </w:t>
      </w:r>
      <w:bookmarkEnd w:id="0"/>
      <w:r>
        <w:t xml:space="preserve">V případě, že v době před podpisem darovací smlouvy ze strany zástupce statutárního města Plzně vyjde najevo existence nesplaceného závazku žadatele o poskytnutí daru po lhůtě splatnosti </w:t>
      </w:r>
      <w:r w:rsidRPr="003E569E">
        <w:t xml:space="preserve">vůči městu Plzni, jeho organizačním složkám a jeho příspěvkovým organizacím, </w:t>
      </w:r>
      <w:r>
        <w:t>resp. účast žadatele o poskytnutí daru</w:t>
      </w:r>
      <w:r w:rsidRPr="003E569E">
        <w:t xml:space="preserve"> v soudním sporu</w:t>
      </w:r>
      <w:r>
        <w:t xml:space="preserve"> </w:t>
      </w:r>
      <w:r w:rsidRPr="003E569E">
        <w:t>s městem Plzní nebo jeho příspěvkovými organizacemi</w:t>
      </w:r>
      <w:r w:rsidR="00CC334E">
        <w:t>,</w:t>
      </w:r>
      <w:r w:rsidRPr="003E569E">
        <w:t xml:space="preserve"> vyjma soudních sporů za zrušení správních rozhodnutí vydaných v přenesené působnosti</w:t>
      </w:r>
      <w:r>
        <w:t xml:space="preserve">, nebude darovací smlouva na poskytnutí finančního daru se žadatelem uzavřena do doby úplného splacení uvedeného závazku resp. ukončení uvedeného soudního sporu. </w:t>
      </w:r>
    </w:p>
    <w:p w:rsidR="00884E62" w:rsidRDefault="00884E62" w:rsidP="008A1A69">
      <w:pPr>
        <w:jc w:val="both"/>
      </w:pPr>
    </w:p>
    <w:p w:rsidR="00884E62" w:rsidRDefault="00884E62" w:rsidP="008A1A69">
      <w:pPr>
        <w:jc w:val="both"/>
      </w:pPr>
    </w:p>
    <w:p w:rsidR="00884E62" w:rsidRDefault="00884E62" w:rsidP="008A1A69">
      <w:pPr>
        <w:jc w:val="both"/>
      </w:pPr>
    </w:p>
    <w:p w:rsidR="00086051" w:rsidRDefault="00086051" w:rsidP="008A1A69">
      <w:pPr>
        <w:jc w:val="both"/>
      </w:pPr>
    </w:p>
    <w:p w:rsidR="008B3130" w:rsidRDefault="00884E62" w:rsidP="00E72005">
      <w:pPr>
        <w:jc w:val="both"/>
      </w:pPr>
      <w:r>
        <w:t>O finanční dar nad 20 tis. Kč požádali tito žadatelé:</w:t>
      </w:r>
    </w:p>
    <w:p w:rsidR="00884E62" w:rsidRDefault="00884E62" w:rsidP="00E72005">
      <w:pPr>
        <w:jc w:val="both"/>
      </w:pP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60"/>
        <w:gridCol w:w="2267"/>
        <w:gridCol w:w="1935"/>
      </w:tblGrid>
      <w:tr w:rsidR="00C65EAB" w:rsidRPr="00824EC9" w:rsidTr="002D157A">
        <w:trPr>
          <w:trHeight w:val="476"/>
        </w:trPr>
        <w:tc>
          <w:tcPr>
            <w:tcW w:w="3027" w:type="dxa"/>
            <w:gridSpan w:val="2"/>
            <w:vAlign w:val="center"/>
          </w:tcPr>
          <w:p w:rsidR="00C65EAB" w:rsidRPr="00824EC9" w:rsidRDefault="00C65EAB" w:rsidP="002D157A">
            <w:pPr>
              <w:jc w:val="center"/>
            </w:pPr>
            <w:r w:rsidRPr="00824EC9">
              <w:t>Žadatel</w:t>
            </w:r>
          </w:p>
        </w:tc>
        <w:tc>
          <w:tcPr>
            <w:tcW w:w="2267" w:type="dxa"/>
            <w:vAlign w:val="center"/>
          </w:tcPr>
          <w:p w:rsidR="00C65EAB" w:rsidRPr="00824EC9" w:rsidRDefault="00C65EAB" w:rsidP="002D157A">
            <w:pPr>
              <w:jc w:val="center"/>
            </w:pPr>
            <w:r>
              <w:t>IČ</w:t>
            </w:r>
          </w:p>
        </w:tc>
        <w:tc>
          <w:tcPr>
            <w:tcW w:w="1935" w:type="dxa"/>
            <w:shd w:val="clear" w:color="auto" w:fill="auto"/>
            <w:vAlign w:val="center"/>
          </w:tcPr>
          <w:p w:rsidR="00C65EAB" w:rsidRPr="00824EC9" w:rsidRDefault="00C65EAB" w:rsidP="002D157A">
            <w:pPr>
              <w:jc w:val="center"/>
            </w:pPr>
            <w:r w:rsidRPr="00824EC9">
              <w:rPr>
                <w:color w:val="000000"/>
              </w:rPr>
              <w:t>Výše daru v</w:t>
            </w:r>
            <w:r>
              <w:rPr>
                <w:color w:val="000000"/>
              </w:rPr>
              <w:t> </w:t>
            </w:r>
            <w:r w:rsidRPr="00824EC9">
              <w:rPr>
                <w:color w:val="000000"/>
              </w:rPr>
              <w:t>Kč</w:t>
            </w:r>
          </w:p>
        </w:tc>
      </w:tr>
      <w:tr w:rsidR="00C65EAB" w:rsidRPr="00824EC9" w:rsidTr="002D157A">
        <w:tc>
          <w:tcPr>
            <w:tcW w:w="567" w:type="dxa"/>
          </w:tcPr>
          <w:p w:rsidR="00C65EAB" w:rsidRDefault="00C65EAB" w:rsidP="002D157A">
            <w:r>
              <w:t>1.</w:t>
            </w:r>
          </w:p>
        </w:tc>
        <w:tc>
          <w:tcPr>
            <w:tcW w:w="2460" w:type="dxa"/>
            <w:shd w:val="clear" w:color="auto" w:fill="auto"/>
          </w:tcPr>
          <w:p w:rsidR="00C65EAB" w:rsidRDefault="00C65EAB" w:rsidP="002D157A">
            <w:r>
              <w:t xml:space="preserve">AZ Catering </w:t>
            </w:r>
            <w:proofErr w:type="spellStart"/>
            <w:r>
              <w:t>services</w:t>
            </w:r>
            <w:proofErr w:type="spellEnd"/>
            <w:r>
              <w:t xml:space="preserve"> s.r.o.</w:t>
            </w:r>
          </w:p>
        </w:tc>
        <w:tc>
          <w:tcPr>
            <w:tcW w:w="2267" w:type="dxa"/>
          </w:tcPr>
          <w:p w:rsidR="00C65EAB" w:rsidRDefault="00C65EAB" w:rsidP="002D157A">
            <w:pPr>
              <w:jc w:val="center"/>
            </w:pPr>
            <w:r>
              <w:t>26395916</w:t>
            </w:r>
          </w:p>
        </w:tc>
        <w:tc>
          <w:tcPr>
            <w:tcW w:w="1935" w:type="dxa"/>
            <w:shd w:val="clear" w:color="auto" w:fill="auto"/>
            <w:vAlign w:val="center"/>
          </w:tcPr>
          <w:p w:rsidR="00C65EAB" w:rsidRDefault="00C65EAB" w:rsidP="002D157A">
            <w:pPr>
              <w:jc w:val="right"/>
            </w:pPr>
            <w:r>
              <w:t>38 472 Kč</w:t>
            </w:r>
          </w:p>
        </w:tc>
      </w:tr>
      <w:tr w:rsidR="00C65EAB" w:rsidRPr="00824EC9" w:rsidTr="002D157A">
        <w:trPr>
          <w:trHeight w:val="291"/>
        </w:trPr>
        <w:tc>
          <w:tcPr>
            <w:tcW w:w="567" w:type="dxa"/>
          </w:tcPr>
          <w:p w:rsidR="00C65EAB" w:rsidRDefault="00C65EAB" w:rsidP="002D157A">
            <w:r>
              <w:t>2.</w:t>
            </w:r>
          </w:p>
        </w:tc>
        <w:tc>
          <w:tcPr>
            <w:tcW w:w="2460" w:type="dxa"/>
            <w:shd w:val="clear" w:color="auto" w:fill="auto"/>
          </w:tcPr>
          <w:p w:rsidR="00C65EAB" w:rsidRDefault="00C65EAB" w:rsidP="002D157A">
            <w:proofErr w:type="spellStart"/>
            <w:r>
              <w:t>Pilsen</w:t>
            </w:r>
            <w:proofErr w:type="spellEnd"/>
            <w:r>
              <w:t xml:space="preserve"> </w:t>
            </w:r>
            <w:proofErr w:type="spellStart"/>
            <w:r>
              <w:t>Hotels</w:t>
            </w:r>
            <w:proofErr w:type="spellEnd"/>
            <w:r>
              <w:t xml:space="preserve"> s.r.o.</w:t>
            </w:r>
          </w:p>
        </w:tc>
        <w:tc>
          <w:tcPr>
            <w:tcW w:w="2267" w:type="dxa"/>
          </w:tcPr>
          <w:p w:rsidR="00C65EAB" w:rsidRDefault="00C65EAB" w:rsidP="002D157A">
            <w:pPr>
              <w:jc w:val="center"/>
            </w:pPr>
            <w:r>
              <w:t>05731631</w:t>
            </w:r>
          </w:p>
        </w:tc>
        <w:tc>
          <w:tcPr>
            <w:tcW w:w="1935" w:type="dxa"/>
            <w:shd w:val="clear" w:color="auto" w:fill="auto"/>
            <w:vAlign w:val="center"/>
          </w:tcPr>
          <w:p w:rsidR="00C65EAB" w:rsidRDefault="00C65EAB" w:rsidP="002D157A">
            <w:pPr>
              <w:jc w:val="right"/>
            </w:pPr>
            <w:r>
              <w:t>74 949 Kč</w:t>
            </w:r>
          </w:p>
        </w:tc>
      </w:tr>
      <w:tr w:rsidR="00C65EAB" w:rsidRPr="00824EC9" w:rsidTr="002D157A">
        <w:trPr>
          <w:trHeight w:val="291"/>
        </w:trPr>
        <w:tc>
          <w:tcPr>
            <w:tcW w:w="567" w:type="dxa"/>
          </w:tcPr>
          <w:p w:rsidR="00C65EAB" w:rsidRDefault="00C65EAB" w:rsidP="002D157A">
            <w:r>
              <w:t>3.</w:t>
            </w:r>
          </w:p>
        </w:tc>
        <w:tc>
          <w:tcPr>
            <w:tcW w:w="2460" w:type="dxa"/>
            <w:shd w:val="clear" w:color="auto" w:fill="auto"/>
          </w:tcPr>
          <w:p w:rsidR="00C65EAB" w:rsidRDefault="00C65EAB" w:rsidP="002D157A">
            <w:proofErr w:type="spellStart"/>
            <w:r>
              <w:t>Property</w:t>
            </w:r>
            <w:proofErr w:type="spellEnd"/>
            <w:r>
              <w:t xml:space="preserve"> Czech a.s.</w:t>
            </w:r>
          </w:p>
        </w:tc>
        <w:tc>
          <w:tcPr>
            <w:tcW w:w="2267" w:type="dxa"/>
          </w:tcPr>
          <w:p w:rsidR="00C65EAB" w:rsidRDefault="00C65EAB" w:rsidP="002D157A">
            <w:pPr>
              <w:jc w:val="center"/>
            </w:pPr>
            <w:r>
              <w:t>27073866</w:t>
            </w:r>
          </w:p>
        </w:tc>
        <w:tc>
          <w:tcPr>
            <w:tcW w:w="1935" w:type="dxa"/>
            <w:shd w:val="clear" w:color="auto" w:fill="auto"/>
            <w:vAlign w:val="center"/>
          </w:tcPr>
          <w:p w:rsidR="00C65EAB" w:rsidRDefault="00C65EAB" w:rsidP="002D157A">
            <w:pPr>
              <w:jc w:val="right"/>
            </w:pPr>
            <w:r>
              <w:t>177 891 Kč</w:t>
            </w:r>
          </w:p>
        </w:tc>
      </w:tr>
      <w:tr w:rsidR="00C65EAB" w:rsidRPr="00824EC9" w:rsidTr="002D157A">
        <w:trPr>
          <w:trHeight w:val="291"/>
        </w:trPr>
        <w:tc>
          <w:tcPr>
            <w:tcW w:w="567" w:type="dxa"/>
          </w:tcPr>
          <w:p w:rsidR="00C65EAB" w:rsidRDefault="00C65EAB" w:rsidP="002D157A">
            <w:r>
              <w:t>4.</w:t>
            </w:r>
          </w:p>
        </w:tc>
        <w:tc>
          <w:tcPr>
            <w:tcW w:w="2460" w:type="dxa"/>
            <w:shd w:val="clear" w:color="auto" w:fill="auto"/>
          </w:tcPr>
          <w:p w:rsidR="00C65EAB" w:rsidRDefault="00C65EAB" w:rsidP="002D157A">
            <w:r>
              <w:t>Hotel Continental s.r.o.</w:t>
            </w:r>
          </w:p>
        </w:tc>
        <w:tc>
          <w:tcPr>
            <w:tcW w:w="2267" w:type="dxa"/>
          </w:tcPr>
          <w:p w:rsidR="00C65EAB" w:rsidRDefault="00C65EAB" w:rsidP="002D157A">
            <w:pPr>
              <w:jc w:val="center"/>
            </w:pPr>
            <w:r>
              <w:t>64831035</w:t>
            </w:r>
          </w:p>
        </w:tc>
        <w:tc>
          <w:tcPr>
            <w:tcW w:w="1935" w:type="dxa"/>
            <w:shd w:val="clear" w:color="auto" w:fill="auto"/>
            <w:vAlign w:val="center"/>
          </w:tcPr>
          <w:p w:rsidR="00C65EAB" w:rsidRDefault="00C65EAB" w:rsidP="002D157A">
            <w:pPr>
              <w:jc w:val="right"/>
            </w:pPr>
            <w:r>
              <w:t>87 612 Kč</w:t>
            </w:r>
          </w:p>
        </w:tc>
      </w:tr>
      <w:tr w:rsidR="00C65EAB" w:rsidRPr="00824EC9" w:rsidTr="002D157A">
        <w:trPr>
          <w:trHeight w:val="291"/>
        </w:trPr>
        <w:tc>
          <w:tcPr>
            <w:tcW w:w="567" w:type="dxa"/>
          </w:tcPr>
          <w:p w:rsidR="00C65EAB" w:rsidRDefault="00C65EAB" w:rsidP="002D157A">
            <w:r>
              <w:t>5.</w:t>
            </w:r>
          </w:p>
        </w:tc>
        <w:tc>
          <w:tcPr>
            <w:tcW w:w="2460" w:type="dxa"/>
            <w:shd w:val="clear" w:color="auto" w:fill="auto"/>
          </w:tcPr>
          <w:p w:rsidR="00C65EAB" w:rsidRDefault="00C65EAB" w:rsidP="002D157A">
            <w:r>
              <w:t>Parkhotel Plzeň s.r.o.</w:t>
            </w:r>
          </w:p>
        </w:tc>
        <w:tc>
          <w:tcPr>
            <w:tcW w:w="2267" w:type="dxa"/>
          </w:tcPr>
          <w:p w:rsidR="00C65EAB" w:rsidRDefault="00C65EAB" w:rsidP="002D157A">
            <w:pPr>
              <w:jc w:val="center"/>
            </w:pPr>
            <w:r>
              <w:t>61776734</w:t>
            </w:r>
          </w:p>
        </w:tc>
        <w:tc>
          <w:tcPr>
            <w:tcW w:w="1935" w:type="dxa"/>
            <w:shd w:val="clear" w:color="auto" w:fill="auto"/>
            <w:vAlign w:val="center"/>
          </w:tcPr>
          <w:p w:rsidR="00C65EAB" w:rsidRDefault="00C65EAB" w:rsidP="002D157A">
            <w:pPr>
              <w:jc w:val="right"/>
            </w:pPr>
            <w:r>
              <w:t>260 379 Kč</w:t>
            </w:r>
          </w:p>
        </w:tc>
      </w:tr>
      <w:tr w:rsidR="00C65EAB" w:rsidRPr="00824EC9" w:rsidTr="002D157A">
        <w:trPr>
          <w:trHeight w:val="291"/>
        </w:trPr>
        <w:tc>
          <w:tcPr>
            <w:tcW w:w="567" w:type="dxa"/>
          </w:tcPr>
          <w:p w:rsidR="00C65EAB" w:rsidRDefault="00C65EAB" w:rsidP="002D157A">
            <w:r>
              <w:t>6.</w:t>
            </w:r>
          </w:p>
        </w:tc>
        <w:tc>
          <w:tcPr>
            <w:tcW w:w="2460" w:type="dxa"/>
            <w:shd w:val="clear" w:color="auto" w:fill="auto"/>
          </w:tcPr>
          <w:p w:rsidR="00C65EAB" w:rsidRDefault="00C65EAB" w:rsidP="002D157A">
            <w:r>
              <w:t>Dana Kvěchová</w:t>
            </w:r>
          </w:p>
        </w:tc>
        <w:tc>
          <w:tcPr>
            <w:tcW w:w="2267" w:type="dxa"/>
          </w:tcPr>
          <w:p w:rsidR="00C65EAB" w:rsidRDefault="00C65EAB" w:rsidP="002D157A">
            <w:pPr>
              <w:jc w:val="center"/>
            </w:pPr>
            <w:r>
              <w:t>15749657</w:t>
            </w:r>
          </w:p>
        </w:tc>
        <w:tc>
          <w:tcPr>
            <w:tcW w:w="1935" w:type="dxa"/>
            <w:shd w:val="clear" w:color="auto" w:fill="auto"/>
            <w:vAlign w:val="center"/>
          </w:tcPr>
          <w:p w:rsidR="00C65EAB" w:rsidRDefault="00C65EAB" w:rsidP="002D157A">
            <w:pPr>
              <w:jc w:val="right"/>
            </w:pPr>
            <w:r>
              <w:t>20 433 Kč</w:t>
            </w:r>
          </w:p>
        </w:tc>
      </w:tr>
      <w:tr w:rsidR="00C65EAB" w:rsidRPr="00824EC9" w:rsidTr="002D157A">
        <w:trPr>
          <w:trHeight w:val="291"/>
        </w:trPr>
        <w:tc>
          <w:tcPr>
            <w:tcW w:w="567" w:type="dxa"/>
          </w:tcPr>
          <w:p w:rsidR="00C65EAB" w:rsidRDefault="00C65EAB" w:rsidP="002D157A">
            <w:r>
              <w:t>7.</w:t>
            </w:r>
          </w:p>
        </w:tc>
        <w:tc>
          <w:tcPr>
            <w:tcW w:w="2460" w:type="dxa"/>
            <w:shd w:val="clear" w:color="auto" w:fill="auto"/>
          </w:tcPr>
          <w:p w:rsidR="00C65EAB" w:rsidRDefault="00C65EAB" w:rsidP="002D157A">
            <w:r>
              <w:t>Kovářka Trend s.r.o.</w:t>
            </w:r>
          </w:p>
        </w:tc>
        <w:tc>
          <w:tcPr>
            <w:tcW w:w="2267" w:type="dxa"/>
          </w:tcPr>
          <w:p w:rsidR="00C65EAB" w:rsidRDefault="00C65EAB" w:rsidP="002D157A">
            <w:pPr>
              <w:jc w:val="center"/>
            </w:pPr>
            <w:r>
              <w:t>27969754</w:t>
            </w:r>
          </w:p>
        </w:tc>
        <w:tc>
          <w:tcPr>
            <w:tcW w:w="1935" w:type="dxa"/>
            <w:shd w:val="clear" w:color="auto" w:fill="auto"/>
            <w:vAlign w:val="center"/>
          </w:tcPr>
          <w:p w:rsidR="00C65EAB" w:rsidRDefault="00C65EAB" w:rsidP="002D157A">
            <w:pPr>
              <w:jc w:val="right"/>
            </w:pPr>
            <w:r>
              <w:t>74 886 Kč</w:t>
            </w:r>
          </w:p>
        </w:tc>
      </w:tr>
      <w:tr w:rsidR="00C65EAB" w:rsidRPr="00824EC9" w:rsidTr="002D157A">
        <w:trPr>
          <w:trHeight w:val="291"/>
        </w:trPr>
        <w:tc>
          <w:tcPr>
            <w:tcW w:w="567" w:type="dxa"/>
          </w:tcPr>
          <w:p w:rsidR="00C65EAB" w:rsidRDefault="00C65EAB" w:rsidP="002D157A">
            <w:r>
              <w:t>8.</w:t>
            </w:r>
          </w:p>
        </w:tc>
        <w:tc>
          <w:tcPr>
            <w:tcW w:w="2460" w:type="dxa"/>
            <w:shd w:val="clear" w:color="auto" w:fill="auto"/>
          </w:tcPr>
          <w:p w:rsidR="00C65EAB" w:rsidRDefault="00C65EAB" w:rsidP="002D157A">
            <w:r>
              <w:t>Jan Lorenz</w:t>
            </w:r>
          </w:p>
        </w:tc>
        <w:tc>
          <w:tcPr>
            <w:tcW w:w="2267" w:type="dxa"/>
          </w:tcPr>
          <w:p w:rsidR="00C65EAB" w:rsidRDefault="00C65EAB" w:rsidP="002D157A">
            <w:pPr>
              <w:jc w:val="center"/>
            </w:pPr>
            <w:r>
              <w:t>43294243</w:t>
            </w:r>
          </w:p>
        </w:tc>
        <w:tc>
          <w:tcPr>
            <w:tcW w:w="1935" w:type="dxa"/>
            <w:shd w:val="clear" w:color="auto" w:fill="auto"/>
            <w:vAlign w:val="center"/>
          </w:tcPr>
          <w:p w:rsidR="00C65EAB" w:rsidRDefault="00C65EAB" w:rsidP="002D157A">
            <w:pPr>
              <w:jc w:val="right"/>
            </w:pPr>
            <w:r>
              <w:t>49 581 Kč</w:t>
            </w:r>
          </w:p>
        </w:tc>
      </w:tr>
      <w:tr w:rsidR="00C65EAB" w:rsidRPr="00824EC9" w:rsidTr="002D157A">
        <w:trPr>
          <w:trHeight w:val="291"/>
        </w:trPr>
        <w:tc>
          <w:tcPr>
            <w:tcW w:w="567" w:type="dxa"/>
          </w:tcPr>
          <w:p w:rsidR="00C65EAB" w:rsidRDefault="00C65EAB" w:rsidP="002D157A">
            <w:r>
              <w:t>9.</w:t>
            </w:r>
          </w:p>
        </w:tc>
        <w:tc>
          <w:tcPr>
            <w:tcW w:w="2460" w:type="dxa"/>
            <w:shd w:val="clear" w:color="auto" w:fill="auto"/>
          </w:tcPr>
          <w:p w:rsidR="00C65EAB" w:rsidRDefault="00C65EAB" w:rsidP="002D157A">
            <w:proofErr w:type="spellStart"/>
            <w:r>
              <w:t>Astory</w:t>
            </w:r>
            <w:proofErr w:type="spellEnd"/>
            <w:r>
              <w:t xml:space="preserve"> Hotel s.r.o.</w:t>
            </w:r>
          </w:p>
        </w:tc>
        <w:tc>
          <w:tcPr>
            <w:tcW w:w="2267" w:type="dxa"/>
          </w:tcPr>
          <w:p w:rsidR="00C65EAB" w:rsidRDefault="00C65EAB" w:rsidP="002D157A">
            <w:pPr>
              <w:jc w:val="center"/>
            </w:pPr>
            <w:r>
              <w:t>04561627</w:t>
            </w:r>
          </w:p>
        </w:tc>
        <w:tc>
          <w:tcPr>
            <w:tcW w:w="1935" w:type="dxa"/>
            <w:shd w:val="clear" w:color="auto" w:fill="auto"/>
            <w:vAlign w:val="center"/>
          </w:tcPr>
          <w:p w:rsidR="00C65EAB" w:rsidRDefault="00C65EAB" w:rsidP="002D157A">
            <w:pPr>
              <w:jc w:val="right"/>
            </w:pPr>
            <w:r>
              <w:t>97 293 Kč</w:t>
            </w:r>
          </w:p>
        </w:tc>
      </w:tr>
      <w:tr w:rsidR="00C65EAB" w:rsidRPr="00824EC9" w:rsidTr="002D157A">
        <w:trPr>
          <w:trHeight w:val="291"/>
        </w:trPr>
        <w:tc>
          <w:tcPr>
            <w:tcW w:w="567" w:type="dxa"/>
          </w:tcPr>
          <w:p w:rsidR="00C65EAB" w:rsidRPr="00824EC9" w:rsidRDefault="00C65EAB" w:rsidP="002D157A">
            <w:pPr>
              <w:jc w:val="both"/>
            </w:pPr>
            <w:r>
              <w:t xml:space="preserve">10. </w:t>
            </w:r>
          </w:p>
        </w:tc>
        <w:tc>
          <w:tcPr>
            <w:tcW w:w="2460" w:type="dxa"/>
            <w:shd w:val="clear" w:color="auto" w:fill="auto"/>
            <w:vAlign w:val="center"/>
          </w:tcPr>
          <w:p w:rsidR="00C65EAB" w:rsidRPr="00824EC9" w:rsidRDefault="00C65EAB" w:rsidP="002D157A">
            <w:r>
              <w:t xml:space="preserve">Václav Duda – Rekonstrukce staveb </w:t>
            </w:r>
          </w:p>
        </w:tc>
        <w:tc>
          <w:tcPr>
            <w:tcW w:w="2267" w:type="dxa"/>
          </w:tcPr>
          <w:p w:rsidR="00C65EAB" w:rsidRPr="00824EC9" w:rsidRDefault="00C65EAB" w:rsidP="002D157A">
            <w:pPr>
              <w:jc w:val="center"/>
            </w:pPr>
            <w:r>
              <w:t>12837041</w:t>
            </w:r>
          </w:p>
        </w:tc>
        <w:tc>
          <w:tcPr>
            <w:tcW w:w="1935" w:type="dxa"/>
            <w:shd w:val="clear" w:color="auto" w:fill="auto"/>
            <w:vAlign w:val="center"/>
          </w:tcPr>
          <w:p w:rsidR="00C65EAB" w:rsidRPr="00824EC9" w:rsidRDefault="00C65EAB" w:rsidP="002D157A">
            <w:pPr>
              <w:jc w:val="right"/>
            </w:pPr>
            <w:r>
              <w:t>70 980 Kč</w:t>
            </w:r>
          </w:p>
        </w:tc>
      </w:tr>
      <w:tr w:rsidR="00C65EAB" w:rsidRPr="00824EC9" w:rsidTr="002D157A">
        <w:trPr>
          <w:trHeight w:val="291"/>
        </w:trPr>
        <w:tc>
          <w:tcPr>
            <w:tcW w:w="567" w:type="dxa"/>
          </w:tcPr>
          <w:p w:rsidR="00C65EAB" w:rsidRDefault="00C65EAB" w:rsidP="002D157A">
            <w:r>
              <w:t>11.</w:t>
            </w:r>
          </w:p>
        </w:tc>
        <w:tc>
          <w:tcPr>
            <w:tcW w:w="2460" w:type="dxa"/>
            <w:shd w:val="clear" w:color="auto" w:fill="auto"/>
          </w:tcPr>
          <w:p w:rsidR="00C65EAB" w:rsidRDefault="00C65EAB" w:rsidP="002D157A">
            <w:proofErr w:type="gramStart"/>
            <w:r>
              <w:t>J.P.</w:t>
            </w:r>
            <w:proofErr w:type="gramEnd"/>
            <w:r>
              <w:t xml:space="preserve">R. </w:t>
            </w:r>
            <w:proofErr w:type="spellStart"/>
            <w:r>
              <w:t>Consulting</w:t>
            </w:r>
            <w:proofErr w:type="spellEnd"/>
            <w:r>
              <w:t xml:space="preserve"> s.r.o.</w:t>
            </w:r>
          </w:p>
        </w:tc>
        <w:tc>
          <w:tcPr>
            <w:tcW w:w="2267" w:type="dxa"/>
          </w:tcPr>
          <w:p w:rsidR="00C65EAB" w:rsidRPr="00824EC9" w:rsidRDefault="00C65EAB" w:rsidP="002D157A">
            <w:pPr>
              <w:jc w:val="center"/>
            </w:pPr>
            <w:r>
              <w:t>26367424</w:t>
            </w:r>
          </w:p>
        </w:tc>
        <w:tc>
          <w:tcPr>
            <w:tcW w:w="1935" w:type="dxa"/>
            <w:shd w:val="clear" w:color="auto" w:fill="auto"/>
            <w:vAlign w:val="center"/>
          </w:tcPr>
          <w:p w:rsidR="00C65EAB" w:rsidRPr="00824EC9" w:rsidRDefault="00C65EAB" w:rsidP="002D157A">
            <w:pPr>
              <w:jc w:val="right"/>
            </w:pPr>
            <w:r>
              <w:t>21 252 Kč</w:t>
            </w:r>
          </w:p>
        </w:tc>
      </w:tr>
      <w:tr w:rsidR="00C65EAB" w:rsidRPr="00824EC9" w:rsidTr="002D157A">
        <w:trPr>
          <w:trHeight w:val="291"/>
        </w:trPr>
        <w:tc>
          <w:tcPr>
            <w:tcW w:w="567" w:type="dxa"/>
          </w:tcPr>
          <w:p w:rsidR="00C65EAB" w:rsidRDefault="00C65EAB" w:rsidP="002D157A">
            <w:r>
              <w:t>12.</w:t>
            </w:r>
          </w:p>
        </w:tc>
        <w:tc>
          <w:tcPr>
            <w:tcW w:w="2460" w:type="dxa"/>
            <w:shd w:val="clear" w:color="auto" w:fill="auto"/>
          </w:tcPr>
          <w:p w:rsidR="00C65EAB" w:rsidRDefault="00C65EAB" w:rsidP="002D157A">
            <w:proofErr w:type="spellStart"/>
            <w:r>
              <w:t>Hurpez</w:t>
            </w:r>
            <w:proofErr w:type="spellEnd"/>
            <w:r>
              <w:t xml:space="preserve"> spol. s.r.o.</w:t>
            </w:r>
          </w:p>
        </w:tc>
        <w:tc>
          <w:tcPr>
            <w:tcW w:w="2267" w:type="dxa"/>
          </w:tcPr>
          <w:p w:rsidR="00C65EAB" w:rsidRPr="00824EC9" w:rsidRDefault="00C65EAB" w:rsidP="002D157A">
            <w:pPr>
              <w:jc w:val="center"/>
            </w:pPr>
            <w:r>
              <w:t>47717131</w:t>
            </w:r>
          </w:p>
        </w:tc>
        <w:tc>
          <w:tcPr>
            <w:tcW w:w="1935" w:type="dxa"/>
            <w:shd w:val="clear" w:color="auto" w:fill="auto"/>
            <w:vAlign w:val="center"/>
          </w:tcPr>
          <w:p w:rsidR="00C65EAB" w:rsidRPr="00824EC9" w:rsidRDefault="00C65EAB" w:rsidP="002D157A">
            <w:pPr>
              <w:jc w:val="right"/>
            </w:pPr>
            <w:r>
              <w:t>328 923 Kč</w:t>
            </w:r>
          </w:p>
        </w:tc>
      </w:tr>
      <w:tr w:rsidR="00C65EAB" w:rsidRPr="00824EC9" w:rsidTr="002D157A">
        <w:trPr>
          <w:trHeight w:val="291"/>
        </w:trPr>
        <w:tc>
          <w:tcPr>
            <w:tcW w:w="567" w:type="dxa"/>
          </w:tcPr>
          <w:p w:rsidR="00C65EAB" w:rsidRDefault="00C65EAB" w:rsidP="002D157A">
            <w:r>
              <w:t xml:space="preserve">13. </w:t>
            </w:r>
          </w:p>
        </w:tc>
        <w:tc>
          <w:tcPr>
            <w:tcW w:w="2460" w:type="dxa"/>
            <w:shd w:val="clear" w:color="auto" w:fill="auto"/>
          </w:tcPr>
          <w:p w:rsidR="00C65EAB" w:rsidRDefault="00C65EAB" w:rsidP="002D157A">
            <w:r>
              <w:t xml:space="preserve">LJ </w:t>
            </w:r>
            <w:proofErr w:type="spellStart"/>
            <w:r>
              <w:t>Development</w:t>
            </w:r>
            <w:proofErr w:type="spellEnd"/>
            <w:r>
              <w:t xml:space="preserve"> s.r.o.</w:t>
            </w:r>
          </w:p>
        </w:tc>
        <w:tc>
          <w:tcPr>
            <w:tcW w:w="2267" w:type="dxa"/>
          </w:tcPr>
          <w:p w:rsidR="00C65EAB" w:rsidRPr="00824EC9" w:rsidRDefault="00C65EAB" w:rsidP="002D157A">
            <w:pPr>
              <w:jc w:val="center"/>
            </w:pPr>
            <w:r>
              <w:t>26411792</w:t>
            </w:r>
          </w:p>
        </w:tc>
        <w:tc>
          <w:tcPr>
            <w:tcW w:w="1935" w:type="dxa"/>
            <w:shd w:val="clear" w:color="auto" w:fill="auto"/>
            <w:vAlign w:val="center"/>
          </w:tcPr>
          <w:p w:rsidR="00C65EAB" w:rsidRPr="00824EC9" w:rsidRDefault="00C65EAB" w:rsidP="002D157A">
            <w:pPr>
              <w:jc w:val="right"/>
            </w:pPr>
            <w:r>
              <w:t>58 149 Kč</w:t>
            </w:r>
          </w:p>
        </w:tc>
      </w:tr>
      <w:tr w:rsidR="00C65EAB" w:rsidRPr="00824EC9" w:rsidTr="002D157A">
        <w:tc>
          <w:tcPr>
            <w:tcW w:w="567" w:type="dxa"/>
          </w:tcPr>
          <w:p w:rsidR="00C65EAB" w:rsidRDefault="00C65EAB" w:rsidP="002D157A">
            <w:r>
              <w:t>14.</w:t>
            </w:r>
          </w:p>
        </w:tc>
        <w:tc>
          <w:tcPr>
            <w:tcW w:w="2460" w:type="dxa"/>
            <w:shd w:val="clear" w:color="auto" w:fill="auto"/>
          </w:tcPr>
          <w:p w:rsidR="00C65EAB" w:rsidRDefault="00C65EAB" w:rsidP="002D157A">
            <w:proofErr w:type="gramStart"/>
            <w:r>
              <w:t>Z.V.R.</w:t>
            </w:r>
            <w:proofErr w:type="gramEnd"/>
            <w:r>
              <w:t xml:space="preserve"> s.r.o.</w:t>
            </w:r>
          </w:p>
        </w:tc>
        <w:tc>
          <w:tcPr>
            <w:tcW w:w="2267" w:type="dxa"/>
          </w:tcPr>
          <w:p w:rsidR="00C65EAB" w:rsidRPr="00824EC9" w:rsidRDefault="00C65EAB" w:rsidP="002D157A">
            <w:pPr>
              <w:jc w:val="center"/>
            </w:pPr>
            <w:r>
              <w:t>26365839</w:t>
            </w:r>
          </w:p>
        </w:tc>
        <w:tc>
          <w:tcPr>
            <w:tcW w:w="1935" w:type="dxa"/>
            <w:shd w:val="clear" w:color="auto" w:fill="auto"/>
            <w:vAlign w:val="center"/>
          </w:tcPr>
          <w:p w:rsidR="00C65EAB" w:rsidRPr="00824EC9" w:rsidRDefault="00C65EAB" w:rsidP="002D157A">
            <w:pPr>
              <w:jc w:val="right"/>
            </w:pPr>
            <w:r>
              <w:t>78 750 Kč</w:t>
            </w:r>
          </w:p>
        </w:tc>
      </w:tr>
      <w:tr w:rsidR="00C65EAB" w:rsidRPr="00824EC9" w:rsidTr="002D157A">
        <w:tc>
          <w:tcPr>
            <w:tcW w:w="567" w:type="dxa"/>
          </w:tcPr>
          <w:p w:rsidR="00C65EAB" w:rsidRDefault="00C65EAB" w:rsidP="002D157A">
            <w:r>
              <w:t>15.</w:t>
            </w:r>
          </w:p>
        </w:tc>
        <w:tc>
          <w:tcPr>
            <w:tcW w:w="2460" w:type="dxa"/>
            <w:shd w:val="clear" w:color="auto" w:fill="auto"/>
          </w:tcPr>
          <w:p w:rsidR="00C65EAB" w:rsidRDefault="00C65EAB" w:rsidP="002D157A">
            <w:r>
              <w:t>LUKR CZ a.s.</w:t>
            </w:r>
          </w:p>
        </w:tc>
        <w:tc>
          <w:tcPr>
            <w:tcW w:w="2267" w:type="dxa"/>
          </w:tcPr>
          <w:p w:rsidR="00C65EAB" w:rsidRPr="00824EC9" w:rsidRDefault="00C65EAB" w:rsidP="002D157A">
            <w:pPr>
              <w:jc w:val="center"/>
            </w:pPr>
            <w:r>
              <w:t>25212541</w:t>
            </w:r>
          </w:p>
        </w:tc>
        <w:tc>
          <w:tcPr>
            <w:tcW w:w="1935" w:type="dxa"/>
            <w:shd w:val="clear" w:color="auto" w:fill="auto"/>
            <w:vAlign w:val="center"/>
          </w:tcPr>
          <w:p w:rsidR="00C65EAB" w:rsidRPr="00824EC9" w:rsidRDefault="00C65EAB" w:rsidP="002D157A">
            <w:pPr>
              <w:jc w:val="right"/>
            </w:pPr>
            <w:r>
              <w:t>138 957 Kč</w:t>
            </w:r>
          </w:p>
        </w:tc>
      </w:tr>
      <w:tr w:rsidR="00C65EAB" w:rsidRPr="00824EC9" w:rsidTr="002D157A">
        <w:tc>
          <w:tcPr>
            <w:tcW w:w="567" w:type="dxa"/>
          </w:tcPr>
          <w:p w:rsidR="00C65EAB" w:rsidRDefault="00C65EAB" w:rsidP="002D157A">
            <w:r>
              <w:t xml:space="preserve">16. </w:t>
            </w:r>
          </w:p>
        </w:tc>
        <w:tc>
          <w:tcPr>
            <w:tcW w:w="2460" w:type="dxa"/>
            <w:shd w:val="clear" w:color="auto" w:fill="auto"/>
          </w:tcPr>
          <w:p w:rsidR="00C65EAB" w:rsidRDefault="00C65EAB" w:rsidP="002D157A">
            <w:proofErr w:type="spellStart"/>
            <w:r>
              <w:t>Vienna</w:t>
            </w:r>
            <w:proofErr w:type="spellEnd"/>
            <w:r>
              <w:t xml:space="preserve"> House </w:t>
            </w:r>
            <w:proofErr w:type="spellStart"/>
            <w:r>
              <w:t>Easy</w:t>
            </w:r>
            <w:proofErr w:type="spellEnd"/>
            <w:r>
              <w:t xml:space="preserve"> </w:t>
            </w:r>
            <w:proofErr w:type="spellStart"/>
            <w:r>
              <w:t>Pilsen</w:t>
            </w:r>
            <w:proofErr w:type="spellEnd"/>
            <w:r>
              <w:t xml:space="preserve"> s.r.o.</w:t>
            </w:r>
          </w:p>
        </w:tc>
        <w:tc>
          <w:tcPr>
            <w:tcW w:w="2267" w:type="dxa"/>
          </w:tcPr>
          <w:p w:rsidR="00C65EAB" w:rsidRPr="00824EC9" w:rsidRDefault="00C65EAB" w:rsidP="002D157A">
            <w:pPr>
              <w:jc w:val="center"/>
            </w:pPr>
            <w:r>
              <w:t>27191354</w:t>
            </w:r>
          </w:p>
        </w:tc>
        <w:tc>
          <w:tcPr>
            <w:tcW w:w="1935" w:type="dxa"/>
            <w:shd w:val="clear" w:color="auto" w:fill="auto"/>
            <w:vAlign w:val="center"/>
          </w:tcPr>
          <w:p w:rsidR="00C65EAB" w:rsidRPr="00824EC9" w:rsidRDefault="00C65EAB" w:rsidP="002D157A">
            <w:pPr>
              <w:jc w:val="right"/>
            </w:pPr>
            <w:r>
              <w:t>492 051 Kč</w:t>
            </w:r>
          </w:p>
        </w:tc>
      </w:tr>
      <w:tr w:rsidR="00C65EAB" w:rsidRPr="00824EC9" w:rsidTr="002D157A">
        <w:tc>
          <w:tcPr>
            <w:tcW w:w="567" w:type="dxa"/>
          </w:tcPr>
          <w:p w:rsidR="00C65EAB" w:rsidRDefault="00C65EAB" w:rsidP="002D157A">
            <w:r>
              <w:t>17.</w:t>
            </w:r>
          </w:p>
        </w:tc>
        <w:tc>
          <w:tcPr>
            <w:tcW w:w="2460" w:type="dxa"/>
            <w:shd w:val="clear" w:color="auto" w:fill="auto"/>
          </w:tcPr>
          <w:p w:rsidR="00C65EAB" w:rsidRDefault="00A0715D" w:rsidP="002D157A">
            <w:r w:rsidRPr="00A0715D">
              <w:t>MIRO servisní s.r.o.</w:t>
            </w:r>
            <w:r>
              <w:rPr>
                <w:rFonts w:ascii="Arial" w:hAnsi="Arial" w:cs="Arial"/>
              </w:rPr>
              <w:t xml:space="preserve">   </w:t>
            </w:r>
          </w:p>
        </w:tc>
        <w:tc>
          <w:tcPr>
            <w:tcW w:w="2267" w:type="dxa"/>
          </w:tcPr>
          <w:p w:rsidR="00C65EAB" w:rsidRPr="00824EC9" w:rsidRDefault="00C65EAB" w:rsidP="002D157A">
            <w:pPr>
              <w:jc w:val="center"/>
            </w:pPr>
            <w:r>
              <w:t>44684576</w:t>
            </w:r>
          </w:p>
        </w:tc>
        <w:tc>
          <w:tcPr>
            <w:tcW w:w="1935" w:type="dxa"/>
            <w:shd w:val="clear" w:color="auto" w:fill="auto"/>
            <w:vAlign w:val="center"/>
          </w:tcPr>
          <w:p w:rsidR="00C65EAB" w:rsidRPr="00824EC9" w:rsidRDefault="00C65EAB" w:rsidP="002D157A">
            <w:pPr>
              <w:jc w:val="right"/>
            </w:pPr>
            <w:r>
              <w:t>107 919 Kč</w:t>
            </w:r>
          </w:p>
        </w:tc>
      </w:tr>
      <w:tr w:rsidR="00C65EAB" w:rsidRPr="00824EC9" w:rsidTr="002D157A">
        <w:tc>
          <w:tcPr>
            <w:tcW w:w="567" w:type="dxa"/>
          </w:tcPr>
          <w:p w:rsidR="00C65EAB" w:rsidRDefault="00C65EAB" w:rsidP="002D157A">
            <w:r>
              <w:t>18.</w:t>
            </w:r>
          </w:p>
        </w:tc>
        <w:tc>
          <w:tcPr>
            <w:tcW w:w="2460" w:type="dxa"/>
            <w:shd w:val="clear" w:color="auto" w:fill="auto"/>
          </w:tcPr>
          <w:p w:rsidR="00C65EAB" w:rsidRDefault="00C65EAB" w:rsidP="002D157A">
            <w:proofErr w:type="spellStart"/>
            <w:r>
              <w:t>Autokarlov</w:t>
            </w:r>
            <w:proofErr w:type="spellEnd"/>
            <w:r>
              <w:t xml:space="preserve"> – Plzeň s.r.o.</w:t>
            </w:r>
          </w:p>
        </w:tc>
        <w:tc>
          <w:tcPr>
            <w:tcW w:w="2267" w:type="dxa"/>
          </w:tcPr>
          <w:p w:rsidR="00C65EAB" w:rsidRDefault="00C65EAB" w:rsidP="002D157A">
            <w:pPr>
              <w:jc w:val="center"/>
            </w:pPr>
            <w:r>
              <w:t>08015830</w:t>
            </w:r>
          </w:p>
        </w:tc>
        <w:tc>
          <w:tcPr>
            <w:tcW w:w="1935" w:type="dxa"/>
            <w:shd w:val="clear" w:color="auto" w:fill="auto"/>
            <w:vAlign w:val="center"/>
          </w:tcPr>
          <w:p w:rsidR="00C65EAB" w:rsidRDefault="00C65EAB" w:rsidP="002D157A">
            <w:pPr>
              <w:jc w:val="right"/>
            </w:pPr>
            <w:r>
              <w:t>26 460 Kč</w:t>
            </w:r>
          </w:p>
        </w:tc>
      </w:tr>
      <w:tr w:rsidR="00C65EAB" w:rsidRPr="00824EC9" w:rsidTr="002D157A">
        <w:tc>
          <w:tcPr>
            <w:tcW w:w="567" w:type="dxa"/>
          </w:tcPr>
          <w:p w:rsidR="00C65EAB" w:rsidRDefault="00C65EAB" w:rsidP="002D157A">
            <w:r>
              <w:t xml:space="preserve">19. </w:t>
            </w:r>
          </w:p>
        </w:tc>
        <w:tc>
          <w:tcPr>
            <w:tcW w:w="2460" w:type="dxa"/>
            <w:shd w:val="clear" w:color="auto" w:fill="auto"/>
          </w:tcPr>
          <w:p w:rsidR="00C65EAB" w:rsidRDefault="00C65EAB" w:rsidP="002D157A">
            <w:r>
              <w:t xml:space="preserve">TJ SLAVIA VŠ </w:t>
            </w:r>
            <w:proofErr w:type="gramStart"/>
            <w:r>
              <w:t xml:space="preserve">Plzeň, </w:t>
            </w:r>
            <w:proofErr w:type="spellStart"/>
            <w:r>
              <w:t>z.s</w:t>
            </w:r>
            <w:proofErr w:type="spellEnd"/>
            <w:r>
              <w:t>.</w:t>
            </w:r>
            <w:proofErr w:type="gramEnd"/>
          </w:p>
        </w:tc>
        <w:tc>
          <w:tcPr>
            <w:tcW w:w="2267" w:type="dxa"/>
          </w:tcPr>
          <w:p w:rsidR="00C65EAB" w:rsidRDefault="00C65EAB" w:rsidP="002D157A">
            <w:pPr>
              <w:jc w:val="center"/>
            </w:pPr>
            <w:r>
              <w:t>00519588</w:t>
            </w:r>
          </w:p>
        </w:tc>
        <w:tc>
          <w:tcPr>
            <w:tcW w:w="1935" w:type="dxa"/>
            <w:shd w:val="clear" w:color="auto" w:fill="auto"/>
            <w:vAlign w:val="center"/>
          </w:tcPr>
          <w:p w:rsidR="00C65EAB" w:rsidRDefault="00C65EAB" w:rsidP="002D157A">
            <w:pPr>
              <w:jc w:val="right"/>
            </w:pPr>
            <w:r>
              <w:t>45 822 Kč</w:t>
            </w:r>
          </w:p>
        </w:tc>
      </w:tr>
      <w:tr w:rsidR="00C65EAB" w:rsidRPr="00824EC9" w:rsidTr="002D157A">
        <w:tc>
          <w:tcPr>
            <w:tcW w:w="567" w:type="dxa"/>
          </w:tcPr>
          <w:p w:rsidR="00C65EAB" w:rsidRDefault="00C65EAB" w:rsidP="002D157A">
            <w:r>
              <w:t>20.</w:t>
            </w:r>
          </w:p>
        </w:tc>
        <w:tc>
          <w:tcPr>
            <w:tcW w:w="2460" w:type="dxa"/>
            <w:shd w:val="clear" w:color="auto" w:fill="auto"/>
          </w:tcPr>
          <w:p w:rsidR="00C65EAB" w:rsidRDefault="00C65EAB" w:rsidP="002D157A">
            <w:r>
              <w:t>Olga Opatrná</w:t>
            </w:r>
          </w:p>
        </w:tc>
        <w:tc>
          <w:tcPr>
            <w:tcW w:w="2267" w:type="dxa"/>
          </w:tcPr>
          <w:p w:rsidR="00C65EAB" w:rsidRDefault="00C65EAB" w:rsidP="002D157A">
            <w:pPr>
              <w:jc w:val="center"/>
            </w:pPr>
            <w:r>
              <w:t>46855131</w:t>
            </w:r>
          </w:p>
        </w:tc>
        <w:tc>
          <w:tcPr>
            <w:tcW w:w="1935" w:type="dxa"/>
            <w:shd w:val="clear" w:color="auto" w:fill="auto"/>
            <w:vAlign w:val="center"/>
          </w:tcPr>
          <w:p w:rsidR="00C65EAB" w:rsidRDefault="00C65EAB" w:rsidP="002D157A">
            <w:pPr>
              <w:jc w:val="right"/>
            </w:pPr>
            <w:r>
              <w:t>20 349 Kč</w:t>
            </w:r>
          </w:p>
        </w:tc>
      </w:tr>
      <w:tr w:rsidR="00C65EAB" w:rsidRPr="00824EC9" w:rsidTr="002D157A">
        <w:tc>
          <w:tcPr>
            <w:tcW w:w="567" w:type="dxa"/>
          </w:tcPr>
          <w:p w:rsidR="00C65EAB" w:rsidRDefault="00C65EAB" w:rsidP="002D157A">
            <w:r>
              <w:t>21.</w:t>
            </w:r>
          </w:p>
        </w:tc>
        <w:tc>
          <w:tcPr>
            <w:tcW w:w="2460" w:type="dxa"/>
            <w:shd w:val="clear" w:color="auto" w:fill="auto"/>
          </w:tcPr>
          <w:p w:rsidR="00C65EAB" w:rsidRDefault="00C65EAB" w:rsidP="002D157A">
            <w:r>
              <w:t>Západočeské konzumní družstvo Plzeň</w:t>
            </w:r>
          </w:p>
        </w:tc>
        <w:tc>
          <w:tcPr>
            <w:tcW w:w="2267" w:type="dxa"/>
          </w:tcPr>
          <w:p w:rsidR="00C65EAB" w:rsidRDefault="00C65EAB" w:rsidP="002D157A">
            <w:pPr>
              <w:jc w:val="center"/>
            </w:pPr>
            <w:r>
              <w:t>00031976</w:t>
            </w:r>
          </w:p>
        </w:tc>
        <w:tc>
          <w:tcPr>
            <w:tcW w:w="1935" w:type="dxa"/>
            <w:shd w:val="clear" w:color="auto" w:fill="auto"/>
            <w:vAlign w:val="center"/>
          </w:tcPr>
          <w:p w:rsidR="00C65EAB" w:rsidRDefault="00C65EAB" w:rsidP="002D157A">
            <w:pPr>
              <w:jc w:val="right"/>
            </w:pPr>
            <w:r>
              <w:t>177 261 Kč</w:t>
            </w:r>
          </w:p>
        </w:tc>
      </w:tr>
      <w:tr w:rsidR="00C65EAB" w:rsidRPr="00824EC9" w:rsidTr="002D157A">
        <w:tc>
          <w:tcPr>
            <w:tcW w:w="567" w:type="dxa"/>
          </w:tcPr>
          <w:p w:rsidR="00C65EAB" w:rsidRDefault="00C65EAB" w:rsidP="002D157A"/>
        </w:tc>
        <w:tc>
          <w:tcPr>
            <w:tcW w:w="2460" w:type="dxa"/>
            <w:shd w:val="clear" w:color="auto" w:fill="auto"/>
          </w:tcPr>
          <w:p w:rsidR="00C65EAB" w:rsidRDefault="00C65EAB" w:rsidP="002D157A">
            <w:r>
              <w:t>Celkem</w:t>
            </w:r>
          </w:p>
        </w:tc>
        <w:tc>
          <w:tcPr>
            <w:tcW w:w="2267" w:type="dxa"/>
          </w:tcPr>
          <w:p w:rsidR="00C65EAB" w:rsidRDefault="00C65EAB" w:rsidP="002D157A">
            <w:pPr>
              <w:jc w:val="center"/>
            </w:pPr>
          </w:p>
        </w:tc>
        <w:tc>
          <w:tcPr>
            <w:tcW w:w="1935" w:type="dxa"/>
            <w:shd w:val="clear" w:color="auto" w:fill="auto"/>
            <w:vAlign w:val="center"/>
          </w:tcPr>
          <w:p w:rsidR="00C65EAB" w:rsidRDefault="00C65EAB" w:rsidP="002D157A">
            <w:pPr>
              <w:jc w:val="right"/>
            </w:pPr>
            <w:r>
              <w:t>2 448 369 Kč</w:t>
            </w:r>
          </w:p>
        </w:tc>
      </w:tr>
    </w:tbl>
    <w:p w:rsidR="0016254C" w:rsidRDefault="0016254C" w:rsidP="00E72005">
      <w:pPr>
        <w:jc w:val="both"/>
      </w:pPr>
    </w:p>
    <w:p w:rsidR="006B76E9" w:rsidRDefault="006B76E9" w:rsidP="00E72005">
      <w:pPr>
        <w:jc w:val="both"/>
      </w:pPr>
      <w:r w:rsidRPr="006B76E9">
        <w:t>Částky poskytovaných darů odpovídají částkám uvedeným v žádostech jednotlivých subjektů.</w:t>
      </w:r>
    </w:p>
    <w:p w:rsidR="00AB29A2" w:rsidRDefault="00AB29A2" w:rsidP="00E72005">
      <w:pPr>
        <w:jc w:val="both"/>
      </w:pPr>
    </w:p>
    <w:p w:rsidR="00D415BB" w:rsidRDefault="00D415BB">
      <w:pPr>
        <w:pStyle w:val="ostzahl"/>
      </w:pPr>
      <w:r>
        <w:t>Předpokládaný cílový stav</w:t>
      </w:r>
    </w:p>
    <w:p w:rsidR="009F098F" w:rsidRPr="00410CD7" w:rsidRDefault="008A1A69" w:rsidP="00523F48">
      <w:pPr>
        <w:pStyle w:val="vlevo"/>
      </w:pPr>
      <w:r>
        <w:rPr>
          <w:szCs w:val="24"/>
        </w:rPr>
        <w:t xml:space="preserve">Poskytnutí </w:t>
      </w:r>
      <w:r w:rsidRPr="00F40202">
        <w:rPr>
          <w:szCs w:val="24"/>
        </w:rPr>
        <w:t>darů plátcům poplatku</w:t>
      </w:r>
      <w:r>
        <w:rPr>
          <w:szCs w:val="24"/>
        </w:rPr>
        <w:t xml:space="preserve"> z pobytu</w:t>
      </w:r>
    </w:p>
    <w:p w:rsidR="00D415BB" w:rsidRDefault="00D415BB">
      <w:pPr>
        <w:pStyle w:val="ostzahl"/>
      </w:pPr>
      <w:r>
        <w:t>Navrhované varianty řešení</w:t>
      </w:r>
    </w:p>
    <w:p w:rsidR="009F098F" w:rsidRPr="009F098F" w:rsidRDefault="008B3130" w:rsidP="00523F48">
      <w:pPr>
        <w:pStyle w:val="vlevo"/>
      </w:pPr>
      <w:r>
        <w:t>Nejsou</w:t>
      </w:r>
    </w:p>
    <w:p w:rsidR="00D415BB" w:rsidRDefault="00D415BB" w:rsidP="00797F5B">
      <w:pPr>
        <w:pStyle w:val="ostzahl"/>
      </w:pPr>
      <w:r>
        <w:t>Doporučená varianta řešení</w:t>
      </w:r>
    </w:p>
    <w:p w:rsidR="00E56D12" w:rsidRDefault="008D0F03" w:rsidP="00523F48">
      <w:pPr>
        <w:pStyle w:val="vlevo"/>
      </w:pPr>
      <w:r>
        <w:t>Navrhovaná varianta řešení je jediná</w:t>
      </w:r>
      <w:r w:rsidR="00CD69C8">
        <w:t>.</w:t>
      </w:r>
    </w:p>
    <w:p w:rsidR="007D2941" w:rsidRDefault="007D2941" w:rsidP="00523F48">
      <w:pPr>
        <w:pStyle w:val="vlevo"/>
      </w:pPr>
    </w:p>
    <w:p w:rsidR="00D415BB" w:rsidRDefault="00D415BB">
      <w:pPr>
        <w:pStyle w:val="ostzahl"/>
      </w:pPr>
      <w:r>
        <w:lastRenderedPageBreak/>
        <w:t>Finanční nároky řešení a možnosti finančního krytí</w:t>
      </w:r>
      <w:r w:rsidR="00884E62">
        <w:t xml:space="preserve"> (včetně všech následných například provozních nákladů</w:t>
      </w:r>
    </w:p>
    <w:p w:rsidR="006B76E9" w:rsidRDefault="006B76E9" w:rsidP="008A1A69">
      <w:pPr>
        <w:pStyle w:val="ostzahl"/>
        <w:numPr>
          <w:ilvl w:val="0"/>
          <w:numId w:val="0"/>
        </w:numPr>
        <w:jc w:val="both"/>
        <w:rPr>
          <w:b w:val="0"/>
          <w:bCs/>
          <w:spacing w:val="0"/>
          <w:szCs w:val="24"/>
        </w:rPr>
      </w:pPr>
      <w:r>
        <w:rPr>
          <w:b w:val="0"/>
          <w:bCs/>
          <w:spacing w:val="0"/>
          <w:szCs w:val="24"/>
        </w:rPr>
        <w:t xml:space="preserve">Finanční krytí pro poskytnutí darů je zajištěno v rámci schváleného rozpočtu provozních výdajů </w:t>
      </w:r>
      <w:proofErr w:type="gramStart"/>
      <w:r>
        <w:rPr>
          <w:b w:val="0"/>
          <w:bCs/>
          <w:spacing w:val="0"/>
          <w:szCs w:val="24"/>
        </w:rPr>
        <w:t>Odboru  financování</w:t>
      </w:r>
      <w:proofErr w:type="gramEnd"/>
      <w:r>
        <w:rPr>
          <w:b w:val="0"/>
          <w:bCs/>
          <w:spacing w:val="0"/>
          <w:szCs w:val="24"/>
        </w:rPr>
        <w:t xml:space="preserve"> a rozpočtu, kde je pro účely podpory alokováno celkem </w:t>
      </w:r>
      <w:r w:rsidR="004B08F5">
        <w:rPr>
          <w:b w:val="0"/>
          <w:bCs/>
          <w:spacing w:val="0"/>
          <w:szCs w:val="24"/>
        </w:rPr>
        <w:br/>
      </w:r>
      <w:r>
        <w:rPr>
          <w:b w:val="0"/>
          <w:bCs/>
          <w:spacing w:val="0"/>
          <w:szCs w:val="24"/>
        </w:rPr>
        <w:t xml:space="preserve">5 000 tis. Kč. </w:t>
      </w:r>
    </w:p>
    <w:p w:rsidR="008A1A69" w:rsidRPr="008A1A69" w:rsidRDefault="008A1A69" w:rsidP="008A1A69">
      <w:pPr>
        <w:pStyle w:val="vlevo"/>
      </w:pPr>
    </w:p>
    <w:p w:rsidR="00D415BB" w:rsidRDefault="00D415BB">
      <w:pPr>
        <w:pStyle w:val="ostzahl"/>
      </w:pPr>
      <w:r>
        <w:t>Návrh termínů realizace a určení zodpovědných pracovníků</w:t>
      </w:r>
    </w:p>
    <w:p w:rsidR="00D415BB" w:rsidRDefault="00D415BB" w:rsidP="00523F48">
      <w:pPr>
        <w:pStyle w:val="vlevo"/>
      </w:pPr>
      <w:r>
        <w:t xml:space="preserve">Dle </w:t>
      </w:r>
      <w:r w:rsidR="000726E7">
        <w:t xml:space="preserve">ukládací části </w:t>
      </w:r>
      <w:r>
        <w:t>návrhu usnesení.</w:t>
      </w:r>
    </w:p>
    <w:p w:rsidR="009F098F" w:rsidRDefault="009F098F" w:rsidP="00523F48">
      <w:pPr>
        <w:pStyle w:val="vlevo"/>
      </w:pPr>
    </w:p>
    <w:p w:rsidR="00D415BB" w:rsidRPr="00CE01C6" w:rsidRDefault="00D415BB">
      <w:pPr>
        <w:pStyle w:val="ostzahl"/>
        <w:rPr>
          <w:b w:val="0"/>
          <w:spacing w:val="0"/>
        </w:rPr>
      </w:pPr>
      <w:r>
        <w:t>Dříve přijatá usnesení orgánů města nebo městských obvodů, která s tímto návrhem souvisejí</w:t>
      </w:r>
    </w:p>
    <w:p w:rsidR="00B20CEC" w:rsidRDefault="00CE01C6" w:rsidP="00523F48">
      <w:pPr>
        <w:pStyle w:val="vlevo"/>
      </w:pPr>
      <w:r>
        <w:t>U</w:t>
      </w:r>
      <w:r w:rsidRPr="00CE01C6">
        <w:t xml:space="preserve">snesení </w:t>
      </w:r>
      <w:r w:rsidR="00B20CEC">
        <w:t>ZM</w:t>
      </w:r>
      <w:r w:rsidR="00A0715D">
        <w:t>P</w:t>
      </w:r>
      <w:r w:rsidRPr="00CE01C6">
        <w:t xml:space="preserve"> </w:t>
      </w:r>
      <w:proofErr w:type="gramStart"/>
      <w:r w:rsidRPr="00CE01C6">
        <w:t>č.</w:t>
      </w:r>
      <w:r w:rsidR="00B20CEC">
        <w:t>7</w:t>
      </w:r>
      <w:r w:rsidRPr="00CE01C6">
        <w:t xml:space="preserve">  </w:t>
      </w:r>
      <w:r>
        <w:t xml:space="preserve">- </w:t>
      </w:r>
      <w:r w:rsidRPr="00CE01C6">
        <w:t xml:space="preserve"> </w:t>
      </w:r>
      <w:r w:rsidR="00924108" w:rsidRPr="00924108">
        <w:t>Rozpočtová</w:t>
      </w:r>
      <w:proofErr w:type="gramEnd"/>
      <w:r w:rsidR="00924108" w:rsidRPr="00924108">
        <w:t xml:space="preserve"> opatření pro rok 2020 a 2021</w:t>
      </w:r>
      <w:r w:rsidR="00924108">
        <w:rPr>
          <w:rFonts w:ascii="Arial" w:hAnsi="Arial" w:cs="Arial"/>
          <w:sz w:val="17"/>
          <w:szCs w:val="17"/>
        </w:rPr>
        <w:t xml:space="preserve"> </w:t>
      </w:r>
    </w:p>
    <w:p w:rsidR="00A937C7" w:rsidRDefault="009A58B4" w:rsidP="00523F48">
      <w:pPr>
        <w:pStyle w:val="vlevo"/>
      </w:pPr>
      <w:hyperlink r:id="rId9" w:history="1">
        <w:r w:rsidR="00A937C7" w:rsidRPr="00A937C7">
          <w:rPr>
            <w:rStyle w:val="Hypertextovodkaz"/>
          </w:rPr>
          <w:t>https://usneseni.plzen.eu/bin_Soubor.php?id=103025</w:t>
        </w:r>
      </w:hyperlink>
    </w:p>
    <w:p w:rsidR="00A937C7" w:rsidRDefault="00A937C7" w:rsidP="00523F48">
      <w:pPr>
        <w:pStyle w:val="vlevo"/>
      </w:pPr>
    </w:p>
    <w:p w:rsidR="00924108" w:rsidRDefault="00B20CEC" w:rsidP="00924108">
      <w:pPr>
        <w:pStyle w:val="vlevo"/>
      </w:pPr>
      <w:r>
        <w:t>U</w:t>
      </w:r>
      <w:r w:rsidRPr="00CE01C6">
        <w:t xml:space="preserve">snesení </w:t>
      </w:r>
      <w:r>
        <w:t>ZM</w:t>
      </w:r>
      <w:r w:rsidR="00A0715D">
        <w:t>P</w:t>
      </w:r>
      <w:r w:rsidRPr="00CE01C6">
        <w:t xml:space="preserve"> č.</w:t>
      </w:r>
      <w:r>
        <w:t>10</w:t>
      </w:r>
      <w:r w:rsidRPr="00CE01C6">
        <w:t xml:space="preserve">  </w:t>
      </w:r>
      <w:r>
        <w:t xml:space="preserve">- </w:t>
      </w:r>
      <w:r w:rsidRPr="00CE01C6">
        <w:t xml:space="preserve"> </w:t>
      </w:r>
      <w:r w:rsidR="00924108" w:rsidRPr="00B20CEC">
        <w:t xml:space="preserve">záměr poskytnutí darů plátcům tohoto poplatku jako opatření pro zmírnění negativních dopadů </w:t>
      </w:r>
      <w:proofErr w:type="spellStart"/>
      <w:r w:rsidR="00924108" w:rsidRPr="00B20CEC">
        <w:t>kor</w:t>
      </w:r>
      <w:proofErr w:type="spellEnd"/>
      <w:r w:rsidR="00924108" w:rsidRPr="00B20CEC">
        <w:t xml:space="preserve">. </w:t>
      </w:r>
      <w:proofErr w:type="gramStart"/>
      <w:r w:rsidR="00924108" w:rsidRPr="00B20CEC">
        <w:t>krize</w:t>
      </w:r>
      <w:proofErr w:type="gramEnd"/>
      <w:r w:rsidR="00924108" w:rsidRPr="00B20CEC">
        <w:t xml:space="preserve"> pro provozovatele ubytovacích zařízení na území města Plzně</w:t>
      </w:r>
    </w:p>
    <w:p w:rsidR="00A937C7" w:rsidRDefault="009A58B4" w:rsidP="00A937C7">
      <w:pPr>
        <w:pStyle w:val="vlevo"/>
      </w:pPr>
      <w:hyperlink r:id="rId10" w:history="1">
        <w:r w:rsidR="00A937C7" w:rsidRPr="00A937C7">
          <w:rPr>
            <w:rStyle w:val="Hypertextovodkaz"/>
          </w:rPr>
          <w:t>https://usneseni.plzen.eu/bin_Soubor.php?id=103028</w:t>
        </w:r>
      </w:hyperlink>
    </w:p>
    <w:p w:rsidR="00CE01C6" w:rsidRDefault="00CE01C6" w:rsidP="00523F48">
      <w:pPr>
        <w:pStyle w:val="vlevo"/>
      </w:pPr>
    </w:p>
    <w:p w:rsidR="00A66B8E" w:rsidRDefault="00A66B8E" w:rsidP="00523F48">
      <w:pPr>
        <w:pStyle w:val="vlevo"/>
      </w:pPr>
      <w:r>
        <w:t xml:space="preserve">Usnesení RMP č. 352 ze dne </w:t>
      </w:r>
      <w:proofErr w:type="gramStart"/>
      <w:r>
        <w:t>26.4.2021</w:t>
      </w:r>
      <w:proofErr w:type="gramEnd"/>
    </w:p>
    <w:bookmarkStart w:id="1" w:name="_GoBack"/>
    <w:bookmarkEnd w:id="1"/>
    <w:p w:rsidR="00A66B8E" w:rsidRDefault="00A66B8E" w:rsidP="00523F48">
      <w:pPr>
        <w:pStyle w:val="vlevo"/>
      </w:pPr>
      <w:r>
        <w:fldChar w:fldCharType="begin"/>
      </w:r>
      <w:r>
        <w:instrText xml:space="preserve"> HYPERLINK "</w:instrText>
      </w:r>
      <w:r w:rsidRPr="00A66B8E">
        <w:instrText>https://usneseni.plzen.eu/bin_Soubor.php?id=103882</w:instrText>
      </w:r>
      <w:r>
        <w:instrText xml:space="preserve">" </w:instrText>
      </w:r>
      <w:r>
        <w:fldChar w:fldCharType="separate"/>
      </w:r>
      <w:r w:rsidRPr="00B6171E">
        <w:rPr>
          <w:rStyle w:val="Hypertextovodkaz"/>
        </w:rPr>
        <w:t>https://usneseni.plzen.eu/bin_Soubor.php?id=103882</w:t>
      </w:r>
      <w:r>
        <w:fldChar w:fldCharType="end"/>
      </w:r>
    </w:p>
    <w:p w:rsidR="00A66B8E" w:rsidRDefault="00A66B8E" w:rsidP="00523F48">
      <w:pPr>
        <w:pStyle w:val="vlevo"/>
      </w:pPr>
    </w:p>
    <w:p w:rsidR="00A66B8E" w:rsidRPr="00815E69" w:rsidRDefault="00A66B8E" w:rsidP="00523F48">
      <w:pPr>
        <w:pStyle w:val="vlevo"/>
      </w:pPr>
    </w:p>
    <w:p w:rsidR="00D415BB" w:rsidRDefault="00D415BB">
      <w:pPr>
        <w:pStyle w:val="ostzahl"/>
      </w:pPr>
      <w:r>
        <w:t>Závazky či pohledávky vůči městu</w:t>
      </w:r>
    </w:p>
    <w:p w:rsidR="00F651A9" w:rsidRPr="00F651A9" w:rsidRDefault="00F651A9" w:rsidP="00F651A9">
      <w:pPr>
        <w:pStyle w:val="ostzahl"/>
        <w:numPr>
          <w:ilvl w:val="0"/>
          <w:numId w:val="0"/>
        </w:numPr>
        <w:rPr>
          <w:b w:val="0"/>
        </w:rPr>
      </w:pPr>
      <w:r w:rsidRPr="00F651A9">
        <w:rPr>
          <w:b w:val="0"/>
        </w:rPr>
        <w:t>Nejsou.</w:t>
      </w:r>
    </w:p>
    <w:p w:rsidR="00A87757" w:rsidRDefault="00A87757" w:rsidP="00523F48">
      <w:pPr>
        <w:pStyle w:val="vlevo"/>
      </w:pPr>
    </w:p>
    <w:p w:rsidR="00D415BB" w:rsidRDefault="009F098F" w:rsidP="00E97AEC">
      <w:pPr>
        <w:pStyle w:val="ostzahl"/>
      </w:pPr>
      <w:r>
        <w:t>P</w:t>
      </w:r>
      <w:r w:rsidR="00E97AEC">
        <w:t>řílohy</w:t>
      </w:r>
    </w:p>
    <w:p w:rsidR="005D72FB" w:rsidRDefault="00FE12A0" w:rsidP="00523F48">
      <w:pPr>
        <w:pStyle w:val="vlevo"/>
      </w:pPr>
      <w:r>
        <w:t>Nejsou.</w:t>
      </w:r>
    </w:p>
    <w:sectPr w:rsidR="005D72FB" w:rsidSect="00A9721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B4" w:rsidRDefault="009A58B4" w:rsidP="00A9721E">
      <w:r>
        <w:separator/>
      </w:r>
    </w:p>
  </w:endnote>
  <w:endnote w:type="continuationSeparator" w:id="0">
    <w:p w:rsidR="009A58B4" w:rsidRDefault="009A58B4" w:rsidP="00A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CE 45">
    <w:altName w:val="Gabriola"/>
    <w:panose1 w:val="00000000000000000000"/>
    <w:charset w:val="EE"/>
    <w:family w:val="decorative"/>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B4" w:rsidRDefault="009A58B4" w:rsidP="00A9721E">
      <w:r>
        <w:separator/>
      </w:r>
    </w:p>
  </w:footnote>
  <w:footnote w:type="continuationSeparator" w:id="0">
    <w:p w:rsidR="009A58B4" w:rsidRDefault="009A58B4" w:rsidP="00A9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4C"/>
    <w:multiLevelType w:val="hybridMultilevel"/>
    <w:tmpl w:val="1A3CED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D18DE"/>
    <w:multiLevelType w:val="hybridMultilevel"/>
    <w:tmpl w:val="F75ADDE4"/>
    <w:lvl w:ilvl="0" w:tplc="04050011">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nsid w:val="09C61F0C"/>
    <w:multiLevelType w:val="hybridMultilevel"/>
    <w:tmpl w:val="4764483E"/>
    <w:lvl w:ilvl="0" w:tplc="2050FADA">
      <w:start w:val="6"/>
      <w:numFmt w:val="decimal"/>
      <w:lvlText w:val="%1."/>
      <w:lvlJc w:val="left"/>
      <w:pPr>
        <w:ind w:left="720" w:hanging="360"/>
      </w:pPr>
      <w:rPr>
        <w:rFonts w:ascii="Arial" w:hAnsi="Arial" w:cs="Times New Roman" w:hint="default"/>
        <w:color w:val="1F497D"/>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FA3641"/>
    <w:multiLevelType w:val="multilevel"/>
    <w:tmpl w:val="2752F222"/>
    <w:lvl w:ilvl="0">
      <w:start w:val="1"/>
      <w:numFmt w:val="decimal"/>
      <w:pStyle w:val="ostzahl"/>
      <w:lvlText w:val="%1."/>
      <w:lvlJc w:val="left"/>
      <w:pPr>
        <w:tabs>
          <w:tab w:val="num" w:pos="360"/>
        </w:tabs>
        <w:ind w:left="360" w:hanging="360"/>
      </w:pPr>
      <w:rPr>
        <w:rFonts w:cs="Times New Roman"/>
      </w:rPr>
    </w:lvl>
    <w:lvl w:ilvl="1">
      <w:start w:val="2"/>
      <w:numFmt w:val="decimal"/>
      <w:isLgl/>
      <w:lvlText w:val="%1.%2"/>
      <w:lvlJc w:val="left"/>
      <w:pPr>
        <w:tabs>
          <w:tab w:val="num" w:pos="643"/>
        </w:tabs>
        <w:ind w:left="643"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nsid w:val="1743283B"/>
    <w:multiLevelType w:val="hybridMultilevel"/>
    <w:tmpl w:val="8354BA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117E7E"/>
    <w:multiLevelType w:val="hybridMultilevel"/>
    <w:tmpl w:val="431E2130"/>
    <w:lvl w:ilvl="0" w:tplc="10DC1A8E">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D3E1C1A"/>
    <w:multiLevelType w:val="hybridMultilevel"/>
    <w:tmpl w:val="8B0E1BC4"/>
    <w:lvl w:ilvl="0" w:tplc="5A98EC86">
      <w:start w:val="1"/>
      <w:numFmt w:val="lowerLetter"/>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EDD36C3"/>
    <w:multiLevelType w:val="hybridMultilevel"/>
    <w:tmpl w:val="6C465C7A"/>
    <w:lvl w:ilvl="0" w:tplc="4DA0760E">
      <w:start w:val="1"/>
      <w:numFmt w:val="decimal"/>
      <w:lvlText w:val="%1."/>
      <w:lvlJc w:val="left"/>
      <w:pPr>
        <w:tabs>
          <w:tab w:val="num" w:pos="36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50380F"/>
    <w:multiLevelType w:val="hybridMultilevel"/>
    <w:tmpl w:val="F6F6F148"/>
    <w:lvl w:ilvl="0" w:tplc="76947850">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5904959"/>
    <w:multiLevelType w:val="hybridMultilevel"/>
    <w:tmpl w:val="14DEF938"/>
    <w:lvl w:ilvl="0" w:tplc="53DA4380">
      <w:start w:val="20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AB6C9D"/>
    <w:multiLevelType w:val="hybridMultilevel"/>
    <w:tmpl w:val="884A17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4032F5"/>
    <w:multiLevelType w:val="multilevel"/>
    <w:tmpl w:val="2A8EEB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F60B68"/>
    <w:multiLevelType w:val="hybridMultilevel"/>
    <w:tmpl w:val="0B181800"/>
    <w:lvl w:ilvl="0" w:tplc="0405000F">
      <w:start w:val="1"/>
      <w:numFmt w:val="decimal"/>
      <w:lvlText w:val="%1."/>
      <w:lvlJc w:val="left"/>
      <w:pPr>
        <w:tabs>
          <w:tab w:val="num" w:pos="720"/>
        </w:tabs>
        <w:ind w:left="720" w:hanging="360"/>
      </w:pPr>
      <w:rPr>
        <w:rFonts w:cs="Times New Roman" w:hint="default"/>
      </w:rPr>
    </w:lvl>
    <w:lvl w:ilvl="1" w:tplc="649E5CE2">
      <w:start w:val="1"/>
      <w:numFmt w:val="lowerLetter"/>
      <w:lvlText w:val="%2)"/>
      <w:lvlJc w:val="left"/>
      <w:pPr>
        <w:tabs>
          <w:tab w:val="num" w:pos="1353"/>
        </w:tabs>
        <w:ind w:left="1353" w:hanging="360"/>
      </w:pPr>
      <w:rPr>
        <w:rFonts w:hint="default"/>
      </w:rPr>
    </w:lvl>
    <w:lvl w:ilvl="2" w:tplc="089C90A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84606B2"/>
    <w:multiLevelType w:val="hybridMultilevel"/>
    <w:tmpl w:val="DCA8D032"/>
    <w:lvl w:ilvl="0" w:tplc="55620406">
      <w:start w:val="12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CB76936"/>
    <w:multiLevelType w:val="hybridMultilevel"/>
    <w:tmpl w:val="C2664060"/>
    <w:lvl w:ilvl="0" w:tplc="07DE1CAA">
      <w:start w:val="660"/>
      <w:numFmt w:val="bullet"/>
      <w:lvlText w:val="-"/>
      <w:lvlJc w:val="left"/>
      <w:pPr>
        <w:tabs>
          <w:tab w:val="num" w:pos="720"/>
        </w:tabs>
        <w:ind w:left="720" w:hanging="360"/>
      </w:pPr>
      <w:rPr>
        <w:rFonts w:ascii="Calibri" w:eastAsia="Calibri" w:hAnsi="Calibri"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381529E"/>
    <w:multiLevelType w:val="hybridMultilevel"/>
    <w:tmpl w:val="F6C0B31E"/>
    <w:lvl w:ilvl="0" w:tplc="07DE1CAA">
      <w:start w:val="660"/>
      <w:numFmt w:val="bullet"/>
      <w:lvlText w:val="-"/>
      <w:lvlJc w:val="left"/>
      <w:pPr>
        <w:tabs>
          <w:tab w:val="num" w:pos="720"/>
        </w:tabs>
        <w:ind w:left="720" w:hanging="360"/>
      </w:pPr>
      <w:rPr>
        <w:rFonts w:ascii="Calibri" w:eastAsia="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6717494"/>
    <w:multiLevelType w:val="hybridMultilevel"/>
    <w:tmpl w:val="2426459E"/>
    <w:lvl w:ilvl="0" w:tplc="5A98EC86">
      <w:start w:val="1"/>
      <w:numFmt w:val="lowerLetter"/>
      <w:lvlText w:val="%1)"/>
      <w:lvlJc w:val="left"/>
      <w:pPr>
        <w:tabs>
          <w:tab w:val="num" w:pos="900"/>
        </w:tabs>
        <w:ind w:left="900" w:hanging="360"/>
      </w:pPr>
      <w:rPr>
        <w:rFonts w:cs="Times New Roman" w:hint="default"/>
      </w:rPr>
    </w:lvl>
    <w:lvl w:ilvl="1" w:tplc="25BAD296">
      <w:start w:val="118"/>
      <w:numFmt w:val="bullet"/>
      <w:lvlText w:val="-"/>
      <w:lvlJc w:val="left"/>
      <w:pPr>
        <w:tabs>
          <w:tab w:val="num" w:pos="1620"/>
        </w:tabs>
        <w:ind w:left="1620" w:hanging="360"/>
      </w:pPr>
      <w:rPr>
        <w:rFonts w:ascii="Times New Roman" w:eastAsia="Times New Roman" w:hAnsi="Times New Roman" w:hint="default"/>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17">
    <w:nsid w:val="5A5405EE"/>
    <w:multiLevelType w:val="hybridMultilevel"/>
    <w:tmpl w:val="4406015A"/>
    <w:lvl w:ilvl="0" w:tplc="5A98EC86">
      <w:start w:val="1"/>
      <w:numFmt w:val="lowerLetter"/>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D140472"/>
    <w:multiLevelType w:val="hybridMultilevel"/>
    <w:tmpl w:val="F8FEB9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5F9769C4"/>
    <w:multiLevelType w:val="hybridMultilevel"/>
    <w:tmpl w:val="7EF888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1E0258E"/>
    <w:multiLevelType w:val="hybridMultilevel"/>
    <w:tmpl w:val="053E793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621809A2"/>
    <w:multiLevelType w:val="hybridMultilevel"/>
    <w:tmpl w:val="0DF82962"/>
    <w:lvl w:ilvl="0" w:tplc="089C90A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2BF0BD0"/>
    <w:multiLevelType w:val="hybridMultilevel"/>
    <w:tmpl w:val="A8BCDF28"/>
    <w:lvl w:ilvl="0" w:tplc="A16C3A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6691BA1"/>
    <w:multiLevelType w:val="hybridMultilevel"/>
    <w:tmpl w:val="D9727CF4"/>
    <w:lvl w:ilvl="0" w:tplc="0B8A1A36">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009479C"/>
    <w:multiLevelType w:val="hybridMultilevel"/>
    <w:tmpl w:val="A6904C16"/>
    <w:lvl w:ilvl="0" w:tplc="8ACE7854">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16"/>
  </w:num>
  <w:num w:numId="4">
    <w:abstractNumId w:val="6"/>
  </w:num>
  <w:num w:numId="5">
    <w:abstractNumId w:val="17"/>
  </w:num>
  <w:num w:numId="6">
    <w:abstractNumId w:val="10"/>
  </w:num>
  <w:num w:numId="7">
    <w:abstractNumId w:val="22"/>
  </w:num>
  <w:num w:numId="8">
    <w:abstractNumId w:val="5"/>
  </w:num>
  <w:num w:numId="9">
    <w:abstractNumId w:val="8"/>
  </w:num>
  <w:num w:numId="10">
    <w:abstractNumId w:val="21"/>
  </w:num>
  <w:num w:numId="11">
    <w:abstractNumId w:val="24"/>
  </w:num>
  <w:num w:numId="12">
    <w:abstractNumId w:val="13"/>
  </w:num>
  <w:num w:numId="13">
    <w:abstractNumId w:val="15"/>
  </w:num>
  <w:num w:numId="14">
    <w:abstractNumId w:val="14"/>
  </w:num>
  <w:num w:numId="15">
    <w:abstractNumId w:val="3"/>
    <w:lvlOverride w:ilvl="0">
      <w:startOverride w:val="2"/>
    </w:lvlOverride>
    <w:lvlOverride w:ilvl="1">
      <w:startOverride w:val="1"/>
    </w:lvlOverride>
  </w:num>
  <w:num w:numId="16">
    <w:abstractNumId w:val="3"/>
  </w:num>
  <w:num w:numId="17">
    <w:abstractNumId w:val="3"/>
  </w:num>
  <w:num w:numId="18">
    <w:abstractNumId w:val="9"/>
  </w:num>
  <w:num w:numId="19">
    <w:abstractNumId w:val="3"/>
  </w:num>
  <w:num w:numId="20">
    <w:abstractNumId w:val="3"/>
  </w:num>
  <w:num w:numId="21">
    <w:abstractNumId w:val="3"/>
  </w:num>
  <w:num w:numId="22">
    <w:abstractNumId w:val="3"/>
  </w:num>
  <w:num w:numId="23">
    <w:abstractNumId w:val="12"/>
  </w:num>
  <w:num w:numId="24">
    <w:abstractNumId w:val="3"/>
  </w:num>
  <w:num w:numId="25">
    <w:abstractNumId w:val="3"/>
  </w:num>
  <w:num w:numId="26">
    <w:abstractNumId w:val="0"/>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num>
  <w:num w:numId="31">
    <w:abstractNumId w:val="23"/>
  </w:num>
  <w:num w:numId="32">
    <w:abstractNumId w:val="3"/>
  </w:num>
  <w:num w:numId="33">
    <w:abstractNumId w:val="3"/>
  </w:num>
  <w:num w:numId="34">
    <w:abstractNumId w:val="3"/>
  </w:num>
  <w:num w:numId="35">
    <w:abstractNumId w:val="1"/>
  </w:num>
  <w:num w:numId="36">
    <w:abstractNumId w:val="4"/>
  </w:num>
  <w:num w:numId="37">
    <w:abstractNumId w:val="7"/>
  </w:num>
  <w:num w:numId="38">
    <w:abstractNumId w:val="3"/>
    <w:lvlOverride w:ilvl="0">
      <w:startOverride w:val="1"/>
    </w:lvlOverride>
  </w:num>
  <w:num w:numId="3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63"/>
    <w:rsid w:val="00003116"/>
    <w:rsid w:val="0001462D"/>
    <w:rsid w:val="0001508A"/>
    <w:rsid w:val="000154EA"/>
    <w:rsid w:val="00020B50"/>
    <w:rsid w:val="00024597"/>
    <w:rsid w:val="0002469C"/>
    <w:rsid w:val="00025724"/>
    <w:rsid w:val="00030881"/>
    <w:rsid w:val="00030A44"/>
    <w:rsid w:val="00031D28"/>
    <w:rsid w:val="00032217"/>
    <w:rsid w:val="00036FC4"/>
    <w:rsid w:val="000418A6"/>
    <w:rsid w:val="00045225"/>
    <w:rsid w:val="00052920"/>
    <w:rsid w:val="000606B8"/>
    <w:rsid w:val="00067C15"/>
    <w:rsid w:val="000726E7"/>
    <w:rsid w:val="00074F2A"/>
    <w:rsid w:val="00086051"/>
    <w:rsid w:val="00094653"/>
    <w:rsid w:val="000C09F3"/>
    <w:rsid w:val="000D402D"/>
    <w:rsid w:val="000D47AB"/>
    <w:rsid w:val="000D4E14"/>
    <w:rsid w:val="000E3C22"/>
    <w:rsid w:val="000E688D"/>
    <w:rsid w:val="000F525E"/>
    <w:rsid w:val="00100F2E"/>
    <w:rsid w:val="00107E07"/>
    <w:rsid w:val="0011175A"/>
    <w:rsid w:val="001152B0"/>
    <w:rsid w:val="00115BF5"/>
    <w:rsid w:val="00126734"/>
    <w:rsid w:val="0014705E"/>
    <w:rsid w:val="001535FE"/>
    <w:rsid w:val="00154329"/>
    <w:rsid w:val="00154898"/>
    <w:rsid w:val="0016254C"/>
    <w:rsid w:val="00162752"/>
    <w:rsid w:val="0016756D"/>
    <w:rsid w:val="00181EB4"/>
    <w:rsid w:val="00184C1B"/>
    <w:rsid w:val="00187F4A"/>
    <w:rsid w:val="0019381A"/>
    <w:rsid w:val="0019701C"/>
    <w:rsid w:val="00197F48"/>
    <w:rsid w:val="001B040F"/>
    <w:rsid w:val="001B380D"/>
    <w:rsid w:val="001F22A4"/>
    <w:rsid w:val="001F396A"/>
    <w:rsid w:val="002007A8"/>
    <w:rsid w:val="00203F5F"/>
    <w:rsid w:val="0020543D"/>
    <w:rsid w:val="0020780B"/>
    <w:rsid w:val="00210563"/>
    <w:rsid w:val="002113AF"/>
    <w:rsid w:val="0021734C"/>
    <w:rsid w:val="00221316"/>
    <w:rsid w:val="00227FBA"/>
    <w:rsid w:val="00230113"/>
    <w:rsid w:val="00244D1E"/>
    <w:rsid w:val="00255244"/>
    <w:rsid w:val="002564A2"/>
    <w:rsid w:val="00275CB4"/>
    <w:rsid w:val="00285AA7"/>
    <w:rsid w:val="00286F60"/>
    <w:rsid w:val="00287081"/>
    <w:rsid w:val="002A0166"/>
    <w:rsid w:val="002A083D"/>
    <w:rsid w:val="002A52E5"/>
    <w:rsid w:val="002B0B2D"/>
    <w:rsid w:val="002C1086"/>
    <w:rsid w:val="002C6E2B"/>
    <w:rsid w:val="002D310E"/>
    <w:rsid w:val="002D4C7E"/>
    <w:rsid w:val="002E067B"/>
    <w:rsid w:val="002E3CDB"/>
    <w:rsid w:val="002F296D"/>
    <w:rsid w:val="002F4F47"/>
    <w:rsid w:val="00310E4C"/>
    <w:rsid w:val="0031124F"/>
    <w:rsid w:val="00312282"/>
    <w:rsid w:val="0032323D"/>
    <w:rsid w:val="00326349"/>
    <w:rsid w:val="00327DEE"/>
    <w:rsid w:val="00331717"/>
    <w:rsid w:val="00332536"/>
    <w:rsid w:val="00344075"/>
    <w:rsid w:val="00346C94"/>
    <w:rsid w:val="0036057A"/>
    <w:rsid w:val="00383AF0"/>
    <w:rsid w:val="00393138"/>
    <w:rsid w:val="003A029C"/>
    <w:rsid w:val="003B2E09"/>
    <w:rsid w:val="003B4892"/>
    <w:rsid w:val="003C4910"/>
    <w:rsid w:val="003D611B"/>
    <w:rsid w:val="003E0311"/>
    <w:rsid w:val="003E42DD"/>
    <w:rsid w:val="003F0BBF"/>
    <w:rsid w:val="003F2C25"/>
    <w:rsid w:val="003F2F59"/>
    <w:rsid w:val="003F4264"/>
    <w:rsid w:val="003F4F02"/>
    <w:rsid w:val="003F5C08"/>
    <w:rsid w:val="003F7716"/>
    <w:rsid w:val="00410CD7"/>
    <w:rsid w:val="00412ED9"/>
    <w:rsid w:val="004169E7"/>
    <w:rsid w:val="0042076D"/>
    <w:rsid w:val="00421976"/>
    <w:rsid w:val="0042485D"/>
    <w:rsid w:val="00430201"/>
    <w:rsid w:val="004538DC"/>
    <w:rsid w:val="004568DD"/>
    <w:rsid w:val="00457739"/>
    <w:rsid w:val="00460321"/>
    <w:rsid w:val="00460935"/>
    <w:rsid w:val="00461532"/>
    <w:rsid w:val="00465CD4"/>
    <w:rsid w:val="00466534"/>
    <w:rsid w:val="004724B4"/>
    <w:rsid w:val="00476E3E"/>
    <w:rsid w:val="00480684"/>
    <w:rsid w:val="00495359"/>
    <w:rsid w:val="004A3673"/>
    <w:rsid w:val="004B08F5"/>
    <w:rsid w:val="004B231F"/>
    <w:rsid w:val="004B7EA2"/>
    <w:rsid w:val="004D7F46"/>
    <w:rsid w:val="004F0DCF"/>
    <w:rsid w:val="004F120B"/>
    <w:rsid w:val="004F696E"/>
    <w:rsid w:val="00502F88"/>
    <w:rsid w:val="005039B1"/>
    <w:rsid w:val="00513572"/>
    <w:rsid w:val="00523F48"/>
    <w:rsid w:val="00531249"/>
    <w:rsid w:val="005367FB"/>
    <w:rsid w:val="0054521C"/>
    <w:rsid w:val="00550620"/>
    <w:rsid w:val="00561A04"/>
    <w:rsid w:val="00567169"/>
    <w:rsid w:val="005750B0"/>
    <w:rsid w:val="005768C8"/>
    <w:rsid w:val="00576B0F"/>
    <w:rsid w:val="00576C5D"/>
    <w:rsid w:val="005849F3"/>
    <w:rsid w:val="00586025"/>
    <w:rsid w:val="00587314"/>
    <w:rsid w:val="005913C3"/>
    <w:rsid w:val="0059448D"/>
    <w:rsid w:val="00594DEF"/>
    <w:rsid w:val="00597E4D"/>
    <w:rsid w:val="005D2667"/>
    <w:rsid w:val="005D48A4"/>
    <w:rsid w:val="005D6F82"/>
    <w:rsid w:val="005D72FB"/>
    <w:rsid w:val="005D771E"/>
    <w:rsid w:val="005E235A"/>
    <w:rsid w:val="005E551F"/>
    <w:rsid w:val="005E6227"/>
    <w:rsid w:val="005E6318"/>
    <w:rsid w:val="005F2807"/>
    <w:rsid w:val="005F2A75"/>
    <w:rsid w:val="005F434C"/>
    <w:rsid w:val="005F43B6"/>
    <w:rsid w:val="005F52F9"/>
    <w:rsid w:val="005F5BEA"/>
    <w:rsid w:val="00600E6D"/>
    <w:rsid w:val="00605F97"/>
    <w:rsid w:val="006070DF"/>
    <w:rsid w:val="00610120"/>
    <w:rsid w:val="00623252"/>
    <w:rsid w:val="0062552F"/>
    <w:rsid w:val="00626B88"/>
    <w:rsid w:val="00641B48"/>
    <w:rsid w:val="006532AF"/>
    <w:rsid w:val="00655146"/>
    <w:rsid w:val="00670186"/>
    <w:rsid w:val="00670ED8"/>
    <w:rsid w:val="006738E2"/>
    <w:rsid w:val="00674DCE"/>
    <w:rsid w:val="006802B3"/>
    <w:rsid w:val="006A0133"/>
    <w:rsid w:val="006A284B"/>
    <w:rsid w:val="006A292E"/>
    <w:rsid w:val="006A34C8"/>
    <w:rsid w:val="006A35A5"/>
    <w:rsid w:val="006B36AC"/>
    <w:rsid w:val="006B76E9"/>
    <w:rsid w:val="006C2C54"/>
    <w:rsid w:val="006D1794"/>
    <w:rsid w:val="006D1C30"/>
    <w:rsid w:val="006D75E9"/>
    <w:rsid w:val="006E0381"/>
    <w:rsid w:val="006E2E43"/>
    <w:rsid w:val="006F0D5C"/>
    <w:rsid w:val="006F131D"/>
    <w:rsid w:val="006F194D"/>
    <w:rsid w:val="006F423F"/>
    <w:rsid w:val="00701242"/>
    <w:rsid w:val="007069F7"/>
    <w:rsid w:val="00710E0D"/>
    <w:rsid w:val="00720F9C"/>
    <w:rsid w:val="00724BA5"/>
    <w:rsid w:val="007345E7"/>
    <w:rsid w:val="00740338"/>
    <w:rsid w:val="00743CE2"/>
    <w:rsid w:val="00744CA6"/>
    <w:rsid w:val="00747EF8"/>
    <w:rsid w:val="00750CC2"/>
    <w:rsid w:val="007525E9"/>
    <w:rsid w:val="007570CA"/>
    <w:rsid w:val="00773E18"/>
    <w:rsid w:val="00784294"/>
    <w:rsid w:val="0079119F"/>
    <w:rsid w:val="007936DD"/>
    <w:rsid w:val="00797F5B"/>
    <w:rsid w:val="007A320D"/>
    <w:rsid w:val="007B202E"/>
    <w:rsid w:val="007B3ED1"/>
    <w:rsid w:val="007C1E73"/>
    <w:rsid w:val="007C6FCD"/>
    <w:rsid w:val="007D1B76"/>
    <w:rsid w:val="007D2941"/>
    <w:rsid w:val="007D3FCD"/>
    <w:rsid w:val="007D7815"/>
    <w:rsid w:val="007E3962"/>
    <w:rsid w:val="007F69D5"/>
    <w:rsid w:val="0080033D"/>
    <w:rsid w:val="008077C9"/>
    <w:rsid w:val="0081583C"/>
    <w:rsid w:val="00815E69"/>
    <w:rsid w:val="0082272F"/>
    <w:rsid w:val="0082661A"/>
    <w:rsid w:val="00835975"/>
    <w:rsid w:val="00835EAC"/>
    <w:rsid w:val="00851DD6"/>
    <w:rsid w:val="008536F5"/>
    <w:rsid w:val="00860673"/>
    <w:rsid w:val="00864AD0"/>
    <w:rsid w:val="00864F1D"/>
    <w:rsid w:val="00881C31"/>
    <w:rsid w:val="00881E26"/>
    <w:rsid w:val="00884A20"/>
    <w:rsid w:val="00884E62"/>
    <w:rsid w:val="008A0678"/>
    <w:rsid w:val="008A1A69"/>
    <w:rsid w:val="008B3130"/>
    <w:rsid w:val="008C3F7A"/>
    <w:rsid w:val="008C6471"/>
    <w:rsid w:val="008D0F03"/>
    <w:rsid w:val="008D30F1"/>
    <w:rsid w:val="008E0A59"/>
    <w:rsid w:val="008E2559"/>
    <w:rsid w:val="008E4DE9"/>
    <w:rsid w:val="008E7C00"/>
    <w:rsid w:val="008E7D7B"/>
    <w:rsid w:val="00910923"/>
    <w:rsid w:val="00912842"/>
    <w:rsid w:val="00912CD0"/>
    <w:rsid w:val="009133B8"/>
    <w:rsid w:val="00914621"/>
    <w:rsid w:val="00915D61"/>
    <w:rsid w:val="00920CC7"/>
    <w:rsid w:val="0092251A"/>
    <w:rsid w:val="00924108"/>
    <w:rsid w:val="0092667F"/>
    <w:rsid w:val="00931B9E"/>
    <w:rsid w:val="0093766B"/>
    <w:rsid w:val="009407CF"/>
    <w:rsid w:val="009422CD"/>
    <w:rsid w:val="0094394C"/>
    <w:rsid w:val="00946CCA"/>
    <w:rsid w:val="009560FE"/>
    <w:rsid w:val="009601AB"/>
    <w:rsid w:val="00963817"/>
    <w:rsid w:val="00965FF3"/>
    <w:rsid w:val="00966135"/>
    <w:rsid w:val="00972953"/>
    <w:rsid w:val="00975D27"/>
    <w:rsid w:val="009828AB"/>
    <w:rsid w:val="00983118"/>
    <w:rsid w:val="00983329"/>
    <w:rsid w:val="00991224"/>
    <w:rsid w:val="009A58B4"/>
    <w:rsid w:val="009A6433"/>
    <w:rsid w:val="009A7737"/>
    <w:rsid w:val="009B167E"/>
    <w:rsid w:val="009B5074"/>
    <w:rsid w:val="009B6CD0"/>
    <w:rsid w:val="009B6E32"/>
    <w:rsid w:val="009C1A23"/>
    <w:rsid w:val="009C476B"/>
    <w:rsid w:val="009C6647"/>
    <w:rsid w:val="009C70EE"/>
    <w:rsid w:val="009D2615"/>
    <w:rsid w:val="009D7632"/>
    <w:rsid w:val="009E5BE9"/>
    <w:rsid w:val="009F098F"/>
    <w:rsid w:val="009F4F61"/>
    <w:rsid w:val="009F5913"/>
    <w:rsid w:val="00A01001"/>
    <w:rsid w:val="00A0715D"/>
    <w:rsid w:val="00A13228"/>
    <w:rsid w:val="00A23975"/>
    <w:rsid w:val="00A40EEC"/>
    <w:rsid w:val="00A526C3"/>
    <w:rsid w:val="00A537E1"/>
    <w:rsid w:val="00A61C70"/>
    <w:rsid w:val="00A66039"/>
    <w:rsid w:val="00A66B8E"/>
    <w:rsid w:val="00A708D0"/>
    <w:rsid w:val="00A7493C"/>
    <w:rsid w:val="00A756B4"/>
    <w:rsid w:val="00A87757"/>
    <w:rsid w:val="00A937C7"/>
    <w:rsid w:val="00A95B83"/>
    <w:rsid w:val="00A9721E"/>
    <w:rsid w:val="00AA3429"/>
    <w:rsid w:val="00AA68EE"/>
    <w:rsid w:val="00AB29A2"/>
    <w:rsid w:val="00AC3F56"/>
    <w:rsid w:val="00AD66C2"/>
    <w:rsid w:val="00AE2677"/>
    <w:rsid w:val="00AE2C2F"/>
    <w:rsid w:val="00AE43A3"/>
    <w:rsid w:val="00AE690C"/>
    <w:rsid w:val="00AF02B3"/>
    <w:rsid w:val="00AF6AD6"/>
    <w:rsid w:val="00AF6B60"/>
    <w:rsid w:val="00B03438"/>
    <w:rsid w:val="00B126E2"/>
    <w:rsid w:val="00B20A53"/>
    <w:rsid w:val="00B20CEC"/>
    <w:rsid w:val="00B2131F"/>
    <w:rsid w:val="00B23270"/>
    <w:rsid w:val="00B307DE"/>
    <w:rsid w:val="00B32F26"/>
    <w:rsid w:val="00B33007"/>
    <w:rsid w:val="00B47053"/>
    <w:rsid w:val="00B50748"/>
    <w:rsid w:val="00B60433"/>
    <w:rsid w:val="00B60AE3"/>
    <w:rsid w:val="00B613A1"/>
    <w:rsid w:val="00B636B4"/>
    <w:rsid w:val="00B6629E"/>
    <w:rsid w:val="00B74D12"/>
    <w:rsid w:val="00B77D63"/>
    <w:rsid w:val="00B80E44"/>
    <w:rsid w:val="00B840AB"/>
    <w:rsid w:val="00B92922"/>
    <w:rsid w:val="00B930EA"/>
    <w:rsid w:val="00B94B66"/>
    <w:rsid w:val="00BB20A0"/>
    <w:rsid w:val="00BB6EC9"/>
    <w:rsid w:val="00BC4A94"/>
    <w:rsid w:val="00BD2FBD"/>
    <w:rsid w:val="00BE5373"/>
    <w:rsid w:val="00BE7A0F"/>
    <w:rsid w:val="00BF2069"/>
    <w:rsid w:val="00BF494E"/>
    <w:rsid w:val="00BF6876"/>
    <w:rsid w:val="00C10631"/>
    <w:rsid w:val="00C10FED"/>
    <w:rsid w:val="00C17CE6"/>
    <w:rsid w:val="00C22B79"/>
    <w:rsid w:val="00C22C72"/>
    <w:rsid w:val="00C24EE7"/>
    <w:rsid w:val="00C32027"/>
    <w:rsid w:val="00C417C5"/>
    <w:rsid w:val="00C44C27"/>
    <w:rsid w:val="00C5093F"/>
    <w:rsid w:val="00C529A1"/>
    <w:rsid w:val="00C52BD8"/>
    <w:rsid w:val="00C535B5"/>
    <w:rsid w:val="00C57309"/>
    <w:rsid w:val="00C6209E"/>
    <w:rsid w:val="00C63BC8"/>
    <w:rsid w:val="00C65EAB"/>
    <w:rsid w:val="00C66426"/>
    <w:rsid w:val="00C81738"/>
    <w:rsid w:val="00C81AD3"/>
    <w:rsid w:val="00C81BEC"/>
    <w:rsid w:val="00C90BD9"/>
    <w:rsid w:val="00C94FD3"/>
    <w:rsid w:val="00C95ABE"/>
    <w:rsid w:val="00CA13B6"/>
    <w:rsid w:val="00CA19B9"/>
    <w:rsid w:val="00CB5D11"/>
    <w:rsid w:val="00CC036D"/>
    <w:rsid w:val="00CC334E"/>
    <w:rsid w:val="00CD2521"/>
    <w:rsid w:val="00CD4150"/>
    <w:rsid w:val="00CD69C8"/>
    <w:rsid w:val="00CE01C6"/>
    <w:rsid w:val="00CE4DB0"/>
    <w:rsid w:val="00CF7522"/>
    <w:rsid w:val="00D037F7"/>
    <w:rsid w:val="00D12D8B"/>
    <w:rsid w:val="00D20A37"/>
    <w:rsid w:val="00D30666"/>
    <w:rsid w:val="00D33910"/>
    <w:rsid w:val="00D415BB"/>
    <w:rsid w:val="00D42CAA"/>
    <w:rsid w:val="00D73452"/>
    <w:rsid w:val="00D74929"/>
    <w:rsid w:val="00D779C0"/>
    <w:rsid w:val="00D9091B"/>
    <w:rsid w:val="00D90EDB"/>
    <w:rsid w:val="00D977D2"/>
    <w:rsid w:val="00DA0113"/>
    <w:rsid w:val="00DB56D8"/>
    <w:rsid w:val="00DD0CB8"/>
    <w:rsid w:val="00DD2221"/>
    <w:rsid w:val="00DD321F"/>
    <w:rsid w:val="00DD4E30"/>
    <w:rsid w:val="00DD7290"/>
    <w:rsid w:val="00DE5926"/>
    <w:rsid w:val="00DE5949"/>
    <w:rsid w:val="00DF0B08"/>
    <w:rsid w:val="00E0234F"/>
    <w:rsid w:val="00E03995"/>
    <w:rsid w:val="00E07E0C"/>
    <w:rsid w:val="00E100FC"/>
    <w:rsid w:val="00E12330"/>
    <w:rsid w:val="00E149B2"/>
    <w:rsid w:val="00E266FB"/>
    <w:rsid w:val="00E35BDD"/>
    <w:rsid w:val="00E37E44"/>
    <w:rsid w:val="00E56D12"/>
    <w:rsid w:val="00E574F4"/>
    <w:rsid w:val="00E72005"/>
    <w:rsid w:val="00E73DAB"/>
    <w:rsid w:val="00E82028"/>
    <w:rsid w:val="00E968E7"/>
    <w:rsid w:val="00E96F66"/>
    <w:rsid w:val="00E97AEC"/>
    <w:rsid w:val="00EA70C1"/>
    <w:rsid w:val="00EC0DBC"/>
    <w:rsid w:val="00EC23CE"/>
    <w:rsid w:val="00EC5A2C"/>
    <w:rsid w:val="00EC5ED8"/>
    <w:rsid w:val="00EC692E"/>
    <w:rsid w:val="00ED0E3F"/>
    <w:rsid w:val="00ED712F"/>
    <w:rsid w:val="00EE2F60"/>
    <w:rsid w:val="00EE39BE"/>
    <w:rsid w:val="00EF57C1"/>
    <w:rsid w:val="00F05AFF"/>
    <w:rsid w:val="00F10290"/>
    <w:rsid w:val="00F10C7C"/>
    <w:rsid w:val="00F21502"/>
    <w:rsid w:val="00F42772"/>
    <w:rsid w:val="00F470BD"/>
    <w:rsid w:val="00F53164"/>
    <w:rsid w:val="00F535A8"/>
    <w:rsid w:val="00F54142"/>
    <w:rsid w:val="00F572C3"/>
    <w:rsid w:val="00F651A9"/>
    <w:rsid w:val="00F65A06"/>
    <w:rsid w:val="00F70354"/>
    <w:rsid w:val="00F72212"/>
    <w:rsid w:val="00F8556D"/>
    <w:rsid w:val="00F860C5"/>
    <w:rsid w:val="00FA2514"/>
    <w:rsid w:val="00FA670E"/>
    <w:rsid w:val="00FA79C5"/>
    <w:rsid w:val="00FB09C7"/>
    <w:rsid w:val="00FB0C58"/>
    <w:rsid w:val="00FB22FA"/>
    <w:rsid w:val="00FB7008"/>
    <w:rsid w:val="00FB7700"/>
    <w:rsid w:val="00FC23DB"/>
    <w:rsid w:val="00FC2778"/>
    <w:rsid w:val="00FD2721"/>
    <w:rsid w:val="00FE12A0"/>
    <w:rsid w:val="00FF13DF"/>
    <w:rsid w:val="00FF328A"/>
    <w:rsid w:val="00FF3D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54C"/>
    <w:rPr>
      <w:sz w:val="24"/>
      <w:szCs w:val="24"/>
    </w:rPr>
  </w:style>
  <w:style w:type="paragraph" w:styleId="Nadpis3">
    <w:name w:val="heading 3"/>
    <w:basedOn w:val="Normln"/>
    <w:next w:val="Normln"/>
    <w:qFormat/>
    <w:pPr>
      <w:keepNext/>
      <w:ind w:firstLine="360"/>
      <w:jc w:val="both"/>
      <w:outlineLvl w:val="2"/>
    </w:pPr>
    <w:rPr>
      <w:i/>
      <w:iCs/>
    </w:rPr>
  </w:style>
  <w:style w:type="paragraph" w:styleId="Nadpis4">
    <w:name w:val="heading 4"/>
    <w:basedOn w:val="Normln"/>
    <w:next w:val="Normln"/>
    <w:qFormat/>
    <w:pPr>
      <w:keepNext/>
      <w:ind w:left="360"/>
      <w:jc w:val="both"/>
      <w:outlineLvl w:val="3"/>
    </w:pPr>
    <w:rPr>
      <w:i/>
      <w:iCs/>
    </w:rPr>
  </w:style>
  <w:style w:type="paragraph" w:styleId="Nadpis5">
    <w:name w:val="heading 5"/>
    <w:basedOn w:val="Normln"/>
    <w:next w:val="Normln"/>
    <w:link w:val="Nadpis5Char"/>
    <w:qFormat/>
    <w:pPr>
      <w:keepNext/>
      <w:outlineLvl w:val="4"/>
    </w:pPr>
    <w:rPr>
      <w:rFonts w:ascii="Arial" w:hAnsi="Arial"/>
      <w:b/>
      <w:bCs/>
      <w:sz w:val="20"/>
      <w:szCs w:val="20"/>
      <w:lang w:val="x-none" w:eastAsia="x-none"/>
    </w:rPr>
  </w:style>
  <w:style w:type="paragraph" w:styleId="Nadpis6">
    <w:name w:val="heading 6"/>
    <w:basedOn w:val="Normln"/>
    <w:next w:val="Normln"/>
    <w:link w:val="Nadpis6Char"/>
    <w:qFormat/>
    <w:pPr>
      <w:keepNext/>
      <w:outlineLvl w:val="5"/>
    </w:pPr>
    <w:rPr>
      <w:rFonts w:ascii="Arial" w:hAnsi="Arial"/>
      <w:b/>
      <w:bCs/>
      <w:lang w:val="x-none" w:eastAsia="x-none"/>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semiHidden/>
    <w:locked/>
    <w:rPr>
      <w:rFonts w:ascii="Calibri" w:hAnsi="Calibri" w:cs="Times New Roman"/>
      <w:b/>
      <w:bCs/>
      <w:sz w:val="28"/>
      <w:szCs w:val="28"/>
    </w:rPr>
  </w:style>
  <w:style w:type="character" w:customStyle="1" w:styleId="Heading5Char">
    <w:name w:val="Heading 5 Char"/>
    <w:semiHidden/>
    <w:locked/>
    <w:rPr>
      <w:rFonts w:ascii="Calibri" w:hAnsi="Calibri" w:cs="Times New Roman"/>
      <w:b/>
      <w:bCs/>
      <w:i/>
      <w:iCs/>
      <w:sz w:val="26"/>
      <w:szCs w:val="26"/>
    </w:rPr>
  </w:style>
  <w:style w:type="character" w:customStyle="1" w:styleId="Heading6Char">
    <w:name w:val="Heading 6 Char"/>
    <w:semiHidden/>
    <w:locked/>
    <w:rPr>
      <w:rFonts w:ascii="Calibri" w:hAnsi="Calibri" w:cs="Times New Roman"/>
      <w:b/>
      <w:bCs/>
    </w:rPr>
  </w:style>
  <w:style w:type="character" w:customStyle="1" w:styleId="Heading7Char">
    <w:name w:val="Heading 7 Char"/>
    <w:semiHidden/>
    <w:locked/>
    <w:rPr>
      <w:rFonts w:ascii="Calibri" w:hAnsi="Calibri" w:cs="Times New Roman"/>
      <w:sz w:val="24"/>
      <w:szCs w:val="24"/>
    </w:rPr>
  </w:style>
  <w:style w:type="paragraph" w:styleId="Zpat">
    <w:name w:val="footer"/>
    <w:basedOn w:val="Normln"/>
    <w:pPr>
      <w:tabs>
        <w:tab w:val="center" w:pos="4153"/>
        <w:tab w:val="right" w:pos="8306"/>
      </w:tabs>
      <w:ind w:firstLine="720"/>
    </w:pPr>
    <w:rPr>
      <w:sz w:val="22"/>
      <w:szCs w:val="20"/>
    </w:rPr>
  </w:style>
  <w:style w:type="character" w:customStyle="1" w:styleId="FooterChar">
    <w:name w:val="Footer Char"/>
    <w:semiHidden/>
    <w:locked/>
    <w:rPr>
      <w:rFonts w:cs="Times New Roman"/>
      <w:sz w:val="24"/>
      <w:szCs w:val="24"/>
    </w:rPr>
  </w:style>
  <w:style w:type="paragraph" w:customStyle="1" w:styleId="vlevo">
    <w:name w:val="vlevo"/>
    <w:basedOn w:val="Normln"/>
    <w:link w:val="vlevoChar"/>
    <w:autoRedefine/>
    <w:rsid w:val="00523F48"/>
    <w:pPr>
      <w:tabs>
        <w:tab w:val="left" w:pos="142"/>
        <w:tab w:val="left" w:pos="1418"/>
      </w:tabs>
      <w:jc w:val="both"/>
    </w:pPr>
    <w:rPr>
      <w:szCs w:val="20"/>
    </w:rPr>
  </w:style>
  <w:style w:type="paragraph" w:customStyle="1" w:styleId="nadpcent">
    <w:name w:val="nadpcent"/>
    <w:basedOn w:val="Normln"/>
    <w:next w:val="vlevo"/>
    <w:autoRedefine/>
    <w:pPr>
      <w:spacing w:before="600" w:after="480"/>
      <w:jc w:val="center"/>
    </w:pPr>
    <w:rPr>
      <w:b/>
      <w:caps/>
      <w:spacing w:val="22"/>
      <w:szCs w:val="20"/>
      <w:lang w:val="en-AU"/>
    </w:rPr>
  </w:style>
  <w:style w:type="paragraph" w:customStyle="1" w:styleId="ostzahl">
    <w:name w:val="ostzahl"/>
    <w:basedOn w:val="Normln"/>
    <w:next w:val="vlevo"/>
    <w:autoRedefine/>
    <w:pPr>
      <w:numPr>
        <w:numId w:val="1"/>
      </w:numPr>
      <w:spacing w:before="120" w:after="120"/>
    </w:pPr>
    <w:rPr>
      <w:b/>
      <w:spacing w:val="22"/>
      <w:szCs w:val="20"/>
    </w:rPr>
  </w:style>
  <w:style w:type="paragraph" w:styleId="Textkomente">
    <w:name w:val="annotation text"/>
    <w:basedOn w:val="Normln"/>
    <w:link w:val="TextkomenteChar"/>
    <w:semiHidden/>
    <w:rPr>
      <w:sz w:val="20"/>
      <w:szCs w:val="20"/>
    </w:rPr>
  </w:style>
  <w:style w:type="character" w:customStyle="1" w:styleId="CommentTextChar">
    <w:name w:val="Comment Text Char"/>
    <w:semiHidden/>
    <w:locked/>
    <w:rPr>
      <w:rFonts w:cs="Times New Roman"/>
      <w:sz w:val="20"/>
      <w:szCs w:val="20"/>
    </w:rPr>
  </w:style>
  <w:style w:type="paragraph" w:styleId="Zkladntextodsazen">
    <w:name w:val="Body Text Indent"/>
    <w:basedOn w:val="Normln"/>
    <w:pPr>
      <w:ind w:left="360"/>
      <w:jc w:val="both"/>
    </w:pPr>
    <w:rPr>
      <w:bCs/>
    </w:rPr>
  </w:style>
  <w:style w:type="character" w:customStyle="1" w:styleId="BodyTextIndentChar">
    <w:name w:val="Body Text Indent Char"/>
    <w:semiHidden/>
    <w:locked/>
    <w:rPr>
      <w:rFonts w:cs="Times New Roman"/>
      <w:sz w:val="24"/>
      <w:szCs w:val="24"/>
    </w:rPr>
  </w:style>
  <w:style w:type="paragraph" w:styleId="Zkladntextodsazen2">
    <w:name w:val="Body Text Indent 2"/>
    <w:basedOn w:val="Normln"/>
    <w:pPr>
      <w:spacing w:after="120" w:line="480" w:lineRule="auto"/>
      <w:ind w:left="283"/>
    </w:pPr>
  </w:style>
  <w:style w:type="character" w:customStyle="1" w:styleId="BodyTextIndent2Char">
    <w:name w:val="Body Text Indent 2 Char"/>
    <w:semiHidden/>
    <w:locked/>
    <w:rPr>
      <w:rFonts w:cs="Times New Roman"/>
      <w:sz w:val="24"/>
      <w:szCs w:val="24"/>
    </w:rPr>
  </w:style>
  <w:style w:type="paragraph" w:styleId="Zkladntext">
    <w:name w:val="Body Text"/>
    <w:basedOn w:val="Normln"/>
    <w:rsid w:val="00983329"/>
    <w:pPr>
      <w:spacing w:after="120"/>
    </w:pPr>
  </w:style>
  <w:style w:type="paragraph" w:styleId="Textbubliny">
    <w:name w:val="Balloon Text"/>
    <w:basedOn w:val="Normln"/>
    <w:semiHidden/>
    <w:rsid w:val="00991224"/>
    <w:rPr>
      <w:rFonts w:ascii="Tahoma" w:hAnsi="Tahoma" w:cs="Tahoma"/>
      <w:sz w:val="16"/>
      <w:szCs w:val="16"/>
    </w:rPr>
  </w:style>
  <w:style w:type="character" w:customStyle="1" w:styleId="Nadpis5Char">
    <w:name w:val="Nadpis 5 Char"/>
    <w:link w:val="Nadpis5"/>
    <w:rsid w:val="00255244"/>
    <w:rPr>
      <w:rFonts w:ascii="Arial" w:hAnsi="Arial" w:cs="Arial"/>
      <w:b/>
      <w:bCs/>
    </w:rPr>
  </w:style>
  <w:style w:type="character" w:customStyle="1" w:styleId="TextkomenteChar">
    <w:name w:val="Text komentáře Char"/>
    <w:link w:val="Textkomente"/>
    <w:semiHidden/>
    <w:rsid w:val="00255244"/>
  </w:style>
  <w:style w:type="character" w:customStyle="1" w:styleId="Nadpis6Char">
    <w:name w:val="Nadpis 6 Char"/>
    <w:link w:val="Nadpis6"/>
    <w:rsid w:val="00FF328A"/>
    <w:rPr>
      <w:rFonts w:ascii="Arial" w:hAnsi="Arial" w:cs="Arial"/>
      <w:b/>
      <w:bCs/>
      <w:sz w:val="24"/>
      <w:szCs w:val="24"/>
    </w:rPr>
  </w:style>
  <w:style w:type="paragraph" w:customStyle="1" w:styleId="Paragrafneslovan">
    <w:name w:val="Paragraf nečíslovaný"/>
    <w:basedOn w:val="Normln"/>
    <w:autoRedefine/>
    <w:rsid w:val="00460321"/>
    <w:pPr>
      <w:jc w:val="both"/>
    </w:pPr>
    <w:rPr>
      <w:szCs w:val="20"/>
    </w:rPr>
  </w:style>
  <w:style w:type="character" w:styleId="Odkaznakoment">
    <w:name w:val="annotation reference"/>
    <w:semiHidden/>
    <w:rsid w:val="00C95ABE"/>
    <w:rPr>
      <w:sz w:val="16"/>
      <w:szCs w:val="16"/>
    </w:rPr>
  </w:style>
  <w:style w:type="paragraph" w:styleId="Pedmtkomente">
    <w:name w:val="annotation subject"/>
    <w:basedOn w:val="Textkomente"/>
    <w:next w:val="Textkomente"/>
    <w:semiHidden/>
    <w:rsid w:val="00C95ABE"/>
    <w:rPr>
      <w:b/>
      <w:bCs/>
    </w:rPr>
  </w:style>
  <w:style w:type="paragraph" w:styleId="Prosttext">
    <w:name w:val="Plain Text"/>
    <w:basedOn w:val="Normln"/>
    <w:link w:val="ProsttextChar"/>
    <w:uiPriority w:val="99"/>
    <w:unhideWhenUsed/>
    <w:rsid w:val="00CB5D11"/>
    <w:rPr>
      <w:rFonts w:ascii="Calibri" w:eastAsia="Calibri" w:hAnsi="Calibri"/>
      <w:sz w:val="22"/>
      <w:szCs w:val="22"/>
      <w:lang w:eastAsia="en-US"/>
    </w:rPr>
  </w:style>
  <w:style w:type="character" w:customStyle="1" w:styleId="ProsttextChar">
    <w:name w:val="Prostý text Char"/>
    <w:link w:val="Prosttext"/>
    <w:uiPriority w:val="99"/>
    <w:rsid w:val="00CB5D11"/>
    <w:rPr>
      <w:rFonts w:ascii="Calibri" w:eastAsia="Calibri" w:hAnsi="Calibri"/>
      <w:sz w:val="22"/>
      <w:szCs w:val="22"/>
      <w:lang w:eastAsia="en-US"/>
    </w:rPr>
  </w:style>
  <w:style w:type="character" w:customStyle="1" w:styleId="vlevoChar">
    <w:name w:val="vlevo Char"/>
    <w:link w:val="vlevo"/>
    <w:rsid w:val="00A9721E"/>
    <w:rPr>
      <w:sz w:val="24"/>
    </w:rPr>
  </w:style>
  <w:style w:type="paragraph" w:styleId="Zhlav">
    <w:name w:val="header"/>
    <w:basedOn w:val="Normln"/>
    <w:link w:val="ZhlavChar"/>
    <w:rsid w:val="00A9721E"/>
    <w:pPr>
      <w:tabs>
        <w:tab w:val="center" w:pos="4536"/>
        <w:tab w:val="right" w:pos="9072"/>
      </w:tabs>
    </w:pPr>
  </w:style>
  <w:style w:type="character" w:customStyle="1" w:styleId="ZhlavChar">
    <w:name w:val="Záhlaví Char"/>
    <w:basedOn w:val="Standardnpsmoodstavce"/>
    <w:link w:val="Zhlav"/>
    <w:rsid w:val="00A9721E"/>
    <w:rPr>
      <w:sz w:val="24"/>
      <w:szCs w:val="24"/>
    </w:rPr>
  </w:style>
  <w:style w:type="character" w:styleId="Hypertextovodkaz">
    <w:name w:val="Hyperlink"/>
    <w:basedOn w:val="Standardnpsmoodstavce"/>
    <w:rsid w:val="00CE01C6"/>
    <w:rPr>
      <w:color w:val="0000FF" w:themeColor="hyperlink"/>
      <w:u w:val="single"/>
    </w:rPr>
  </w:style>
  <w:style w:type="character" w:styleId="Sledovanodkaz">
    <w:name w:val="FollowedHyperlink"/>
    <w:basedOn w:val="Standardnpsmoodstavce"/>
    <w:rsid w:val="00CE01C6"/>
    <w:rPr>
      <w:color w:val="800080" w:themeColor="followedHyperlink"/>
      <w:u w:val="single"/>
    </w:rPr>
  </w:style>
  <w:style w:type="paragraph" w:styleId="Odstavecseseznamem">
    <w:name w:val="List Paragraph"/>
    <w:basedOn w:val="Normln"/>
    <w:uiPriority w:val="34"/>
    <w:qFormat/>
    <w:rsid w:val="006D1C30"/>
    <w:pPr>
      <w:ind w:left="720"/>
      <w:contextualSpacing/>
    </w:pPr>
    <w:rPr>
      <w:rFonts w:ascii="Frutiger CE 45" w:hAnsi="Frutiger CE 4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54C"/>
    <w:rPr>
      <w:sz w:val="24"/>
      <w:szCs w:val="24"/>
    </w:rPr>
  </w:style>
  <w:style w:type="paragraph" w:styleId="Nadpis3">
    <w:name w:val="heading 3"/>
    <w:basedOn w:val="Normln"/>
    <w:next w:val="Normln"/>
    <w:qFormat/>
    <w:pPr>
      <w:keepNext/>
      <w:ind w:firstLine="360"/>
      <w:jc w:val="both"/>
      <w:outlineLvl w:val="2"/>
    </w:pPr>
    <w:rPr>
      <w:i/>
      <w:iCs/>
    </w:rPr>
  </w:style>
  <w:style w:type="paragraph" w:styleId="Nadpis4">
    <w:name w:val="heading 4"/>
    <w:basedOn w:val="Normln"/>
    <w:next w:val="Normln"/>
    <w:qFormat/>
    <w:pPr>
      <w:keepNext/>
      <w:ind w:left="360"/>
      <w:jc w:val="both"/>
      <w:outlineLvl w:val="3"/>
    </w:pPr>
    <w:rPr>
      <w:i/>
      <w:iCs/>
    </w:rPr>
  </w:style>
  <w:style w:type="paragraph" w:styleId="Nadpis5">
    <w:name w:val="heading 5"/>
    <w:basedOn w:val="Normln"/>
    <w:next w:val="Normln"/>
    <w:link w:val="Nadpis5Char"/>
    <w:qFormat/>
    <w:pPr>
      <w:keepNext/>
      <w:outlineLvl w:val="4"/>
    </w:pPr>
    <w:rPr>
      <w:rFonts w:ascii="Arial" w:hAnsi="Arial"/>
      <w:b/>
      <w:bCs/>
      <w:sz w:val="20"/>
      <w:szCs w:val="20"/>
      <w:lang w:val="x-none" w:eastAsia="x-none"/>
    </w:rPr>
  </w:style>
  <w:style w:type="paragraph" w:styleId="Nadpis6">
    <w:name w:val="heading 6"/>
    <w:basedOn w:val="Normln"/>
    <w:next w:val="Normln"/>
    <w:link w:val="Nadpis6Char"/>
    <w:qFormat/>
    <w:pPr>
      <w:keepNext/>
      <w:outlineLvl w:val="5"/>
    </w:pPr>
    <w:rPr>
      <w:rFonts w:ascii="Arial" w:hAnsi="Arial"/>
      <w:b/>
      <w:bCs/>
      <w:lang w:val="x-none" w:eastAsia="x-none"/>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semiHidden/>
    <w:locked/>
    <w:rPr>
      <w:rFonts w:ascii="Calibri" w:hAnsi="Calibri" w:cs="Times New Roman"/>
      <w:b/>
      <w:bCs/>
      <w:sz w:val="28"/>
      <w:szCs w:val="28"/>
    </w:rPr>
  </w:style>
  <w:style w:type="character" w:customStyle="1" w:styleId="Heading5Char">
    <w:name w:val="Heading 5 Char"/>
    <w:semiHidden/>
    <w:locked/>
    <w:rPr>
      <w:rFonts w:ascii="Calibri" w:hAnsi="Calibri" w:cs="Times New Roman"/>
      <w:b/>
      <w:bCs/>
      <w:i/>
      <w:iCs/>
      <w:sz w:val="26"/>
      <w:szCs w:val="26"/>
    </w:rPr>
  </w:style>
  <w:style w:type="character" w:customStyle="1" w:styleId="Heading6Char">
    <w:name w:val="Heading 6 Char"/>
    <w:semiHidden/>
    <w:locked/>
    <w:rPr>
      <w:rFonts w:ascii="Calibri" w:hAnsi="Calibri" w:cs="Times New Roman"/>
      <w:b/>
      <w:bCs/>
    </w:rPr>
  </w:style>
  <w:style w:type="character" w:customStyle="1" w:styleId="Heading7Char">
    <w:name w:val="Heading 7 Char"/>
    <w:semiHidden/>
    <w:locked/>
    <w:rPr>
      <w:rFonts w:ascii="Calibri" w:hAnsi="Calibri" w:cs="Times New Roman"/>
      <w:sz w:val="24"/>
      <w:szCs w:val="24"/>
    </w:rPr>
  </w:style>
  <w:style w:type="paragraph" w:styleId="Zpat">
    <w:name w:val="footer"/>
    <w:basedOn w:val="Normln"/>
    <w:pPr>
      <w:tabs>
        <w:tab w:val="center" w:pos="4153"/>
        <w:tab w:val="right" w:pos="8306"/>
      </w:tabs>
      <w:ind w:firstLine="720"/>
    </w:pPr>
    <w:rPr>
      <w:sz w:val="22"/>
      <w:szCs w:val="20"/>
    </w:rPr>
  </w:style>
  <w:style w:type="character" w:customStyle="1" w:styleId="FooterChar">
    <w:name w:val="Footer Char"/>
    <w:semiHidden/>
    <w:locked/>
    <w:rPr>
      <w:rFonts w:cs="Times New Roman"/>
      <w:sz w:val="24"/>
      <w:szCs w:val="24"/>
    </w:rPr>
  </w:style>
  <w:style w:type="paragraph" w:customStyle="1" w:styleId="vlevo">
    <w:name w:val="vlevo"/>
    <w:basedOn w:val="Normln"/>
    <w:link w:val="vlevoChar"/>
    <w:autoRedefine/>
    <w:rsid w:val="00523F48"/>
    <w:pPr>
      <w:tabs>
        <w:tab w:val="left" w:pos="142"/>
        <w:tab w:val="left" w:pos="1418"/>
      </w:tabs>
      <w:jc w:val="both"/>
    </w:pPr>
    <w:rPr>
      <w:szCs w:val="20"/>
    </w:rPr>
  </w:style>
  <w:style w:type="paragraph" w:customStyle="1" w:styleId="nadpcent">
    <w:name w:val="nadpcent"/>
    <w:basedOn w:val="Normln"/>
    <w:next w:val="vlevo"/>
    <w:autoRedefine/>
    <w:pPr>
      <w:spacing w:before="600" w:after="480"/>
      <w:jc w:val="center"/>
    </w:pPr>
    <w:rPr>
      <w:b/>
      <w:caps/>
      <w:spacing w:val="22"/>
      <w:szCs w:val="20"/>
      <w:lang w:val="en-AU"/>
    </w:rPr>
  </w:style>
  <w:style w:type="paragraph" w:customStyle="1" w:styleId="ostzahl">
    <w:name w:val="ostzahl"/>
    <w:basedOn w:val="Normln"/>
    <w:next w:val="vlevo"/>
    <w:autoRedefine/>
    <w:pPr>
      <w:numPr>
        <w:numId w:val="1"/>
      </w:numPr>
      <w:spacing w:before="120" w:after="120"/>
    </w:pPr>
    <w:rPr>
      <w:b/>
      <w:spacing w:val="22"/>
      <w:szCs w:val="20"/>
    </w:rPr>
  </w:style>
  <w:style w:type="paragraph" w:styleId="Textkomente">
    <w:name w:val="annotation text"/>
    <w:basedOn w:val="Normln"/>
    <w:link w:val="TextkomenteChar"/>
    <w:semiHidden/>
    <w:rPr>
      <w:sz w:val="20"/>
      <w:szCs w:val="20"/>
    </w:rPr>
  </w:style>
  <w:style w:type="character" w:customStyle="1" w:styleId="CommentTextChar">
    <w:name w:val="Comment Text Char"/>
    <w:semiHidden/>
    <w:locked/>
    <w:rPr>
      <w:rFonts w:cs="Times New Roman"/>
      <w:sz w:val="20"/>
      <w:szCs w:val="20"/>
    </w:rPr>
  </w:style>
  <w:style w:type="paragraph" w:styleId="Zkladntextodsazen">
    <w:name w:val="Body Text Indent"/>
    <w:basedOn w:val="Normln"/>
    <w:pPr>
      <w:ind w:left="360"/>
      <w:jc w:val="both"/>
    </w:pPr>
    <w:rPr>
      <w:bCs/>
    </w:rPr>
  </w:style>
  <w:style w:type="character" w:customStyle="1" w:styleId="BodyTextIndentChar">
    <w:name w:val="Body Text Indent Char"/>
    <w:semiHidden/>
    <w:locked/>
    <w:rPr>
      <w:rFonts w:cs="Times New Roman"/>
      <w:sz w:val="24"/>
      <w:szCs w:val="24"/>
    </w:rPr>
  </w:style>
  <w:style w:type="paragraph" w:styleId="Zkladntextodsazen2">
    <w:name w:val="Body Text Indent 2"/>
    <w:basedOn w:val="Normln"/>
    <w:pPr>
      <w:spacing w:after="120" w:line="480" w:lineRule="auto"/>
      <w:ind w:left="283"/>
    </w:pPr>
  </w:style>
  <w:style w:type="character" w:customStyle="1" w:styleId="BodyTextIndent2Char">
    <w:name w:val="Body Text Indent 2 Char"/>
    <w:semiHidden/>
    <w:locked/>
    <w:rPr>
      <w:rFonts w:cs="Times New Roman"/>
      <w:sz w:val="24"/>
      <w:szCs w:val="24"/>
    </w:rPr>
  </w:style>
  <w:style w:type="paragraph" w:styleId="Zkladntext">
    <w:name w:val="Body Text"/>
    <w:basedOn w:val="Normln"/>
    <w:rsid w:val="00983329"/>
    <w:pPr>
      <w:spacing w:after="120"/>
    </w:pPr>
  </w:style>
  <w:style w:type="paragraph" w:styleId="Textbubliny">
    <w:name w:val="Balloon Text"/>
    <w:basedOn w:val="Normln"/>
    <w:semiHidden/>
    <w:rsid w:val="00991224"/>
    <w:rPr>
      <w:rFonts w:ascii="Tahoma" w:hAnsi="Tahoma" w:cs="Tahoma"/>
      <w:sz w:val="16"/>
      <w:szCs w:val="16"/>
    </w:rPr>
  </w:style>
  <w:style w:type="character" w:customStyle="1" w:styleId="Nadpis5Char">
    <w:name w:val="Nadpis 5 Char"/>
    <w:link w:val="Nadpis5"/>
    <w:rsid w:val="00255244"/>
    <w:rPr>
      <w:rFonts w:ascii="Arial" w:hAnsi="Arial" w:cs="Arial"/>
      <w:b/>
      <w:bCs/>
    </w:rPr>
  </w:style>
  <w:style w:type="character" w:customStyle="1" w:styleId="TextkomenteChar">
    <w:name w:val="Text komentáře Char"/>
    <w:link w:val="Textkomente"/>
    <w:semiHidden/>
    <w:rsid w:val="00255244"/>
  </w:style>
  <w:style w:type="character" w:customStyle="1" w:styleId="Nadpis6Char">
    <w:name w:val="Nadpis 6 Char"/>
    <w:link w:val="Nadpis6"/>
    <w:rsid w:val="00FF328A"/>
    <w:rPr>
      <w:rFonts w:ascii="Arial" w:hAnsi="Arial" w:cs="Arial"/>
      <w:b/>
      <w:bCs/>
      <w:sz w:val="24"/>
      <w:szCs w:val="24"/>
    </w:rPr>
  </w:style>
  <w:style w:type="paragraph" w:customStyle="1" w:styleId="Paragrafneslovan">
    <w:name w:val="Paragraf nečíslovaný"/>
    <w:basedOn w:val="Normln"/>
    <w:autoRedefine/>
    <w:rsid w:val="00460321"/>
    <w:pPr>
      <w:jc w:val="both"/>
    </w:pPr>
    <w:rPr>
      <w:szCs w:val="20"/>
    </w:rPr>
  </w:style>
  <w:style w:type="character" w:styleId="Odkaznakoment">
    <w:name w:val="annotation reference"/>
    <w:semiHidden/>
    <w:rsid w:val="00C95ABE"/>
    <w:rPr>
      <w:sz w:val="16"/>
      <w:szCs w:val="16"/>
    </w:rPr>
  </w:style>
  <w:style w:type="paragraph" w:styleId="Pedmtkomente">
    <w:name w:val="annotation subject"/>
    <w:basedOn w:val="Textkomente"/>
    <w:next w:val="Textkomente"/>
    <w:semiHidden/>
    <w:rsid w:val="00C95ABE"/>
    <w:rPr>
      <w:b/>
      <w:bCs/>
    </w:rPr>
  </w:style>
  <w:style w:type="paragraph" w:styleId="Prosttext">
    <w:name w:val="Plain Text"/>
    <w:basedOn w:val="Normln"/>
    <w:link w:val="ProsttextChar"/>
    <w:uiPriority w:val="99"/>
    <w:unhideWhenUsed/>
    <w:rsid w:val="00CB5D11"/>
    <w:rPr>
      <w:rFonts w:ascii="Calibri" w:eastAsia="Calibri" w:hAnsi="Calibri"/>
      <w:sz w:val="22"/>
      <w:szCs w:val="22"/>
      <w:lang w:eastAsia="en-US"/>
    </w:rPr>
  </w:style>
  <w:style w:type="character" w:customStyle="1" w:styleId="ProsttextChar">
    <w:name w:val="Prostý text Char"/>
    <w:link w:val="Prosttext"/>
    <w:uiPriority w:val="99"/>
    <w:rsid w:val="00CB5D11"/>
    <w:rPr>
      <w:rFonts w:ascii="Calibri" w:eastAsia="Calibri" w:hAnsi="Calibri"/>
      <w:sz w:val="22"/>
      <w:szCs w:val="22"/>
      <w:lang w:eastAsia="en-US"/>
    </w:rPr>
  </w:style>
  <w:style w:type="character" w:customStyle="1" w:styleId="vlevoChar">
    <w:name w:val="vlevo Char"/>
    <w:link w:val="vlevo"/>
    <w:rsid w:val="00A9721E"/>
    <w:rPr>
      <w:sz w:val="24"/>
    </w:rPr>
  </w:style>
  <w:style w:type="paragraph" w:styleId="Zhlav">
    <w:name w:val="header"/>
    <w:basedOn w:val="Normln"/>
    <w:link w:val="ZhlavChar"/>
    <w:rsid w:val="00A9721E"/>
    <w:pPr>
      <w:tabs>
        <w:tab w:val="center" w:pos="4536"/>
        <w:tab w:val="right" w:pos="9072"/>
      </w:tabs>
    </w:pPr>
  </w:style>
  <w:style w:type="character" w:customStyle="1" w:styleId="ZhlavChar">
    <w:name w:val="Záhlaví Char"/>
    <w:basedOn w:val="Standardnpsmoodstavce"/>
    <w:link w:val="Zhlav"/>
    <w:rsid w:val="00A9721E"/>
    <w:rPr>
      <w:sz w:val="24"/>
      <w:szCs w:val="24"/>
    </w:rPr>
  </w:style>
  <w:style w:type="character" w:styleId="Hypertextovodkaz">
    <w:name w:val="Hyperlink"/>
    <w:basedOn w:val="Standardnpsmoodstavce"/>
    <w:rsid w:val="00CE01C6"/>
    <w:rPr>
      <w:color w:val="0000FF" w:themeColor="hyperlink"/>
      <w:u w:val="single"/>
    </w:rPr>
  </w:style>
  <w:style w:type="character" w:styleId="Sledovanodkaz">
    <w:name w:val="FollowedHyperlink"/>
    <w:basedOn w:val="Standardnpsmoodstavce"/>
    <w:rsid w:val="00CE01C6"/>
    <w:rPr>
      <w:color w:val="800080" w:themeColor="followedHyperlink"/>
      <w:u w:val="single"/>
    </w:rPr>
  </w:style>
  <w:style w:type="paragraph" w:styleId="Odstavecseseznamem">
    <w:name w:val="List Paragraph"/>
    <w:basedOn w:val="Normln"/>
    <w:uiPriority w:val="34"/>
    <w:qFormat/>
    <w:rsid w:val="006D1C30"/>
    <w:pPr>
      <w:ind w:left="720"/>
      <w:contextualSpacing/>
    </w:pPr>
    <w:rPr>
      <w:rFonts w:ascii="Frutiger CE 45" w:hAnsi="Frutiger CE 4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925">
      <w:bodyDiv w:val="1"/>
      <w:marLeft w:val="0"/>
      <w:marRight w:val="0"/>
      <w:marTop w:val="0"/>
      <w:marBottom w:val="0"/>
      <w:divBdr>
        <w:top w:val="none" w:sz="0" w:space="0" w:color="auto"/>
        <w:left w:val="none" w:sz="0" w:space="0" w:color="auto"/>
        <w:bottom w:val="none" w:sz="0" w:space="0" w:color="auto"/>
        <w:right w:val="none" w:sz="0" w:space="0" w:color="auto"/>
      </w:divBdr>
      <w:divsChild>
        <w:div w:id="333845028">
          <w:marLeft w:val="0"/>
          <w:marRight w:val="0"/>
          <w:marTop w:val="0"/>
          <w:marBottom w:val="0"/>
          <w:divBdr>
            <w:top w:val="none" w:sz="0" w:space="0" w:color="auto"/>
            <w:left w:val="none" w:sz="0" w:space="0" w:color="auto"/>
            <w:bottom w:val="none" w:sz="0" w:space="0" w:color="auto"/>
            <w:right w:val="none" w:sz="0" w:space="0" w:color="auto"/>
          </w:divBdr>
        </w:div>
        <w:div w:id="339285524">
          <w:marLeft w:val="0"/>
          <w:marRight w:val="0"/>
          <w:marTop w:val="0"/>
          <w:marBottom w:val="0"/>
          <w:divBdr>
            <w:top w:val="none" w:sz="0" w:space="0" w:color="auto"/>
            <w:left w:val="none" w:sz="0" w:space="0" w:color="auto"/>
            <w:bottom w:val="none" w:sz="0" w:space="0" w:color="auto"/>
            <w:right w:val="none" w:sz="0" w:space="0" w:color="auto"/>
          </w:divBdr>
        </w:div>
        <w:div w:id="427501414">
          <w:marLeft w:val="0"/>
          <w:marRight w:val="0"/>
          <w:marTop w:val="0"/>
          <w:marBottom w:val="0"/>
          <w:divBdr>
            <w:top w:val="none" w:sz="0" w:space="0" w:color="auto"/>
            <w:left w:val="none" w:sz="0" w:space="0" w:color="auto"/>
            <w:bottom w:val="none" w:sz="0" w:space="0" w:color="auto"/>
            <w:right w:val="none" w:sz="0" w:space="0" w:color="auto"/>
          </w:divBdr>
        </w:div>
        <w:div w:id="482964782">
          <w:marLeft w:val="0"/>
          <w:marRight w:val="0"/>
          <w:marTop w:val="0"/>
          <w:marBottom w:val="0"/>
          <w:divBdr>
            <w:top w:val="none" w:sz="0" w:space="0" w:color="auto"/>
            <w:left w:val="none" w:sz="0" w:space="0" w:color="auto"/>
            <w:bottom w:val="none" w:sz="0" w:space="0" w:color="auto"/>
            <w:right w:val="none" w:sz="0" w:space="0" w:color="auto"/>
          </w:divBdr>
        </w:div>
        <w:div w:id="1857844879">
          <w:marLeft w:val="0"/>
          <w:marRight w:val="0"/>
          <w:marTop w:val="0"/>
          <w:marBottom w:val="0"/>
          <w:divBdr>
            <w:top w:val="none" w:sz="0" w:space="0" w:color="auto"/>
            <w:left w:val="none" w:sz="0" w:space="0" w:color="auto"/>
            <w:bottom w:val="none" w:sz="0" w:space="0" w:color="auto"/>
            <w:right w:val="none" w:sz="0" w:space="0" w:color="auto"/>
          </w:divBdr>
        </w:div>
        <w:div w:id="2092117319">
          <w:marLeft w:val="0"/>
          <w:marRight w:val="0"/>
          <w:marTop w:val="0"/>
          <w:marBottom w:val="0"/>
          <w:divBdr>
            <w:top w:val="none" w:sz="0" w:space="0" w:color="auto"/>
            <w:left w:val="none" w:sz="0" w:space="0" w:color="auto"/>
            <w:bottom w:val="none" w:sz="0" w:space="0" w:color="auto"/>
            <w:right w:val="none" w:sz="0" w:space="0" w:color="auto"/>
          </w:divBdr>
        </w:div>
      </w:divsChild>
    </w:div>
    <w:div w:id="113326305">
      <w:bodyDiv w:val="1"/>
      <w:marLeft w:val="0"/>
      <w:marRight w:val="0"/>
      <w:marTop w:val="0"/>
      <w:marBottom w:val="0"/>
      <w:divBdr>
        <w:top w:val="none" w:sz="0" w:space="0" w:color="auto"/>
        <w:left w:val="none" w:sz="0" w:space="0" w:color="auto"/>
        <w:bottom w:val="none" w:sz="0" w:space="0" w:color="auto"/>
        <w:right w:val="none" w:sz="0" w:space="0" w:color="auto"/>
      </w:divBdr>
    </w:div>
    <w:div w:id="353581380">
      <w:bodyDiv w:val="1"/>
      <w:marLeft w:val="0"/>
      <w:marRight w:val="0"/>
      <w:marTop w:val="0"/>
      <w:marBottom w:val="0"/>
      <w:divBdr>
        <w:top w:val="none" w:sz="0" w:space="0" w:color="auto"/>
        <w:left w:val="none" w:sz="0" w:space="0" w:color="auto"/>
        <w:bottom w:val="none" w:sz="0" w:space="0" w:color="auto"/>
        <w:right w:val="none" w:sz="0" w:space="0" w:color="auto"/>
      </w:divBdr>
    </w:div>
    <w:div w:id="577331318">
      <w:bodyDiv w:val="1"/>
      <w:marLeft w:val="0"/>
      <w:marRight w:val="0"/>
      <w:marTop w:val="0"/>
      <w:marBottom w:val="0"/>
      <w:divBdr>
        <w:top w:val="none" w:sz="0" w:space="0" w:color="auto"/>
        <w:left w:val="none" w:sz="0" w:space="0" w:color="auto"/>
        <w:bottom w:val="none" w:sz="0" w:space="0" w:color="auto"/>
        <w:right w:val="none" w:sz="0" w:space="0" w:color="auto"/>
      </w:divBdr>
    </w:div>
    <w:div w:id="830095709">
      <w:bodyDiv w:val="1"/>
      <w:marLeft w:val="0"/>
      <w:marRight w:val="0"/>
      <w:marTop w:val="0"/>
      <w:marBottom w:val="0"/>
      <w:divBdr>
        <w:top w:val="none" w:sz="0" w:space="0" w:color="auto"/>
        <w:left w:val="none" w:sz="0" w:space="0" w:color="auto"/>
        <w:bottom w:val="none" w:sz="0" w:space="0" w:color="auto"/>
        <w:right w:val="none" w:sz="0" w:space="0" w:color="auto"/>
      </w:divBdr>
    </w:div>
    <w:div w:id="847644656">
      <w:bodyDiv w:val="1"/>
      <w:marLeft w:val="0"/>
      <w:marRight w:val="0"/>
      <w:marTop w:val="0"/>
      <w:marBottom w:val="0"/>
      <w:divBdr>
        <w:top w:val="none" w:sz="0" w:space="0" w:color="auto"/>
        <w:left w:val="none" w:sz="0" w:space="0" w:color="auto"/>
        <w:bottom w:val="none" w:sz="0" w:space="0" w:color="auto"/>
        <w:right w:val="none" w:sz="0" w:space="0" w:color="auto"/>
      </w:divBdr>
    </w:div>
    <w:div w:id="934096227">
      <w:bodyDiv w:val="1"/>
      <w:marLeft w:val="0"/>
      <w:marRight w:val="0"/>
      <w:marTop w:val="0"/>
      <w:marBottom w:val="0"/>
      <w:divBdr>
        <w:top w:val="none" w:sz="0" w:space="0" w:color="auto"/>
        <w:left w:val="none" w:sz="0" w:space="0" w:color="auto"/>
        <w:bottom w:val="none" w:sz="0" w:space="0" w:color="auto"/>
        <w:right w:val="none" w:sz="0" w:space="0" w:color="auto"/>
      </w:divBdr>
    </w:div>
    <w:div w:id="1075976010">
      <w:bodyDiv w:val="1"/>
      <w:marLeft w:val="0"/>
      <w:marRight w:val="0"/>
      <w:marTop w:val="0"/>
      <w:marBottom w:val="0"/>
      <w:divBdr>
        <w:top w:val="none" w:sz="0" w:space="0" w:color="auto"/>
        <w:left w:val="none" w:sz="0" w:space="0" w:color="auto"/>
        <w:bottom w:val="none" w:sz="0" w:space="0" w:color="auto"/>
        <w:right w:val="none" w:sz="0" w:space="0" w:color="auto"/>
      </w:divBdr>
    </w:div>
    <w:div w:id="1094014188">
      <w:bodyDiv w:val="1"/>
      <w:marLeft w:val="0"/>
      <w:marRight w:val="0"/>
      <w:marTop w:val="0"/>
      <w:marBottom w:val="0"/>
      <w:divBdr>
        <w:top w:val="none" w:sz="0" w:space="0" w:color="auto"/>
        <w:left w:val="none" w:sz="0" w:space="0" w:color="auto"/>
        <w:bottom w:val="none" w:sz="0" w:space="0" w:color="auto"/>
        <w:right w:val="none" w:sz="0" w:space="0" w:color="auto"/>
      </w:divBdr>
    </w:div>
    <w:div w:id="1419522592">
      <w:bodyDiv w:val="1"/>
      <w:marLeft w:val="0"/>
      <w:marRight w:val="0"/>
      <w:marTop w:val="0"/>
      <w:marBottom w:val="0"/>
      <w:divBdr>
        <w:top w:val="none" w:sz="0" w:space="0" w:color="auto"/>
        <w:left w:val="none" w:sz="0" w:space="0" w:color="auto"/>
        <w:bottom w:val="none" w:sz="0" w:space="0" w:color="auto"/>
        <w:right w:val="none" w:sz="0" w:space="0" w:color="auto"/>
      </w:divBdr>
    </w:div>
    <w:div w:id="20573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sneseni.plzen.eu/bin_Soubor.php?id=103028" TargetMode="External"/><Relationship Id="rId4" Type="http://schemas.microsoft.com/office/2007/relationships/stylesWithEffects" Target="stylesWithEffects.xml"/><Relationship Id="rId9" Type="http://schemas.openxmlformats.org/officeDocument/2006/relationships/hyperlink" Target="https://usneseni.plzen.eu/bin_Soubor.php?id=1030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ankova\Plocha\Duvodova%20zpra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BA4F-1967-4328-BA92-58E50B9E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Duvodova zprava.dot</Template>
  <TotalTime>3</TotalTime>
  <Pages>3</Pages>
  <Words>826</Words>
  <Characters>4880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DŮVODOVÁ ZPRÁVA</vt:lpstr>
    </vt:vector>
  </TitlesOfParts>
  <Company>SIT</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berankova</dc:creator>
  <cp:lastModifiedBy>Hrabětová Alena</cp:lastModifiedBy>
  <cp:revision>3</cp:revision>
  <cp:lastPrinted>2021-04-29T06:40:00Z</cp:lastPrinted>
  <dcterms:created xsi:type="dcterms:W3CDTF">2021-04-29T06:37:00Z</dcterms:created>
  <dcterms:modified xsi:type="dcterms:W3CDTF">2021-04-29T06:43:00Z</dcterms:modified>
</cp:coreProperties>
</file>