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68" w:rsidRPr="00FA049C" w:rsidRDefault="009F6A92" w:rsidP="00623F23">
      <w:pPr>
        <w:tabs>
          <w:tab w:val="left" w:pos="3969"/>
          <w:tab w:val="left" w:pos="8222"/>
        </w:tabs>
        <w:spacing w:line="280" w:lineRule="exact"/>
        <w:rPr>
          <w:rFonts w:cs="Times New Roman"/>
          <w:b/>
          <w:bCs/>
          <w:sz w:val="24"/>
          <w:szCs w:val="24"/>
        </w:rPr>
      </w:pPr>
      <w:r w:rsidRPr="00FA049C">
        <w:rPr>
          <w:rFonts w:cs="Times New Roman"/>
          <w:b/>
          <w:bCs/>
          <w:sz w:val="24"/>
          <w:szCs w:val="24"/>
        </w:rPr>
        <w:t>Zastupitelstvo města Plzně</w:t>
      </w:r>
      <w:r w:rsidR="00623F23">
        <w:rPr>
          <w:rFonts w:cs="Times New Roman"/>
          <w:b/>
          <w:bCs/>
          <w:sz w:val="24"/>
          <w:szCs w:val="24"/>
        </w:rPr>
        <w:tab/>
      </w:r>
      <w:r w:rsidR="00B50568" w:rsidRPr="00FA049C">
        <w:rPr>
          <w:rFonts w:cs="Times New Roman"/>
          <w:b/>
          <w:bCs/>
          <w:sz w:val="24"/>
          <w:szCs w:val="24"/>
        </w:rPr>
        <w:t>1</w:t>
      </w:r>
      <w:r w:rsidR="00294AAD">
        <w:rPr>
          <w:rFonts w:cs="Times New Roman"/>
          <w:b/>
          <w:bCs/>
          <w:sz w:val="24"/>
          <w:szCs w:val="24"/>
        </w:rPr>
        <w:t>5</w:t>
      </w:r>
      <w:r w:rsidRPr="00FA049C">
        <w:rPr>
          <w:rFonts w:cs="Times New Roman"/>
          <w:b/>
          <w:bCs/>
          <w:sz w:val="24"/>
          <w:szCs w:val="24"/>
        </w:rPr>
        <w:t xml:space="preserve">. </w:t>
      </w:r>
      <w:r w:rsidR="00294AAD">
        <w:rPr>
          <w:rFonts w:cs="Times New Roman"/>
          <w:b/>
          <w:bCs/>
          <w:sz w:val="24"/>
          <w:szCs w:val="24"/>
        </w:rPr>
        <w:t xml:space="preserve">listopadu </w:t>
      </w:r>
      <w:r w:rsidRPr="00FA049C">
        <w:rPr>
          <w:rFonts w:cs="Times New Roman"/>
          <w:b/>
          <w:bCs/>
          <w:sz w:val="24"/>
          <w:szCs w:val="24"/>
        </w:rPr>
        <w:t>20</w:t>
      </w:r>
      <w:r w:rsidR="00B50568" w:rsidRPr="00FA049C">
        <w:rPr>
          <w:rFonts w:cs="Times New Roman"/>
          <w:b/>
          <w:bCs/>
          <w:sz w:val="24"/>
          <w:szCs w:val="24"/>
        </w:rPr>
        <w:t>21</w:t>
      </w:r>
      <w:r w:rsidR="00623F23">
        <w:rPr>
          <w:rFonts w:cs="Times New Roman"/>
          <w:b/>
          <w:bCs/>
          <w:sz w:val="24"/>
          <w:szCs w:val="24"/>
        </w:rPr>
        <w:tab/>
      </w:r>
      <w:r w:rsidRPr="00FA049C">
        <w:rPr>
          <w:rFonts w:cs="Times New Roman"/>
          <w:b/>
          <w:bCs/>
          <w:sz w:val="24"/>
          <w:szCs w:val="24"/>
        </w:rPr>
        <w:t>N</w:t>
      </w:r>
      <w:r w:rsidR="00B50568" w:rsidRPr="00FA049C">
        <w:rPr>
          <w:rFonts w:cs="Times New Roman"/>
          <w:b/>
          <w:bCs/>
          <w:sz w:val="24"/>
          <w:szCs w:val="24"/>
        </w:rPr>
        <w:t>ámV/1</w:t>
      </w:r>
    </w:p>
    <w:p w:rsidR="007345B5" w:rsidRPr="00FA049C" w:rsidRDefault="007345B5">
      <w:pPr>
        <w:spacing w:line="280" w:lineRule="exact"/>
        <w:rPr>
          <w:rFonts w:cs="Times New Roman"/>
          <w:sz w:val="24"/>
          <w:szCs w:val="24"/>
        </w:rPr>
      </w:pPr>
    </w:p>
    <w:p w:rsidR="007345B5" w:rsidRPr="00FA049C" w:rsidRDefault="00197C56">
      <w:pPr>
        <w:pStyle w:val="Nadpis1"/>
        <w:spacing w:line="280" w:lineRule="exact"/>
        <w:jc w:val="center"/>
        <w:rPr>
          <w:rFonts w:ascii="Times New Roman" w:eastAsia="Times New Roman" w:hAnsi="Times New Roman" w:cs="Times New Roman"/>
          <w:sz w:val="24"/>
          <w:szCs w:val="24"/>
        </w:rPr>
      </w:pPr>
      <w:r w:rsidRPr="00FA049C">
        <w:rPr>
          <w:rFonts w:ascii="Times New Roman" w:hAnsi="Times New Roman" w:cs="Times New Roman"/>
          <w:sz w:val="24"/>
          <w:szCs w:val="24"/>
        </w:rPr>
        <w:t>INFORMATIVNÍ</w:t>
      </w:r>
      <w:r w:rsidR="00EF5D7D">
        <w:rPr>
          <w:rFonts w:ascii="Times New Roman" w:hAnsi="Times New Roman" w:cs="Times New Roman"/>
          <w:sz w:val="24"/>
          <w:szCs w:val="24"/>
        </w:rPr>
        <w:t xml:space="preserve">  </w:t>
      </w:r>
      <w:r w:rsidRPr="00FA049C">
        <w:rPr>
          <w:rFonts w:ascii="Times New Roman" w:hAnsi="Times New Roman" w:cs="Times New Roman"/>
          <w:sz w:val="24"/>
          <w:szCs w:val="24"/>
        </w:rPr>
        <w:t>ZPRÁVA</w:t>
      </w:r>
    </w:p>
    <w:p w:rsidR="007345B5" w:rsidRPr="00FA049C" w:rsidRDefault="007345B5">
      <w:pPr>
        <w:spacing w:line="280" w:lineRule="exact"/>
        <w:rPr>
          <w:rFonts w:cs="Times New Roman"/>
          <w:sz w:val="24"/>
          <w:szCs w:val="24"/>
        </w:rPr>
      </w:pPr>
    </w:p>
    <w:p w:rsidR="00B50568" w:rsidRPr="00FA049C" w:rsidRDefault="00B50568" w:rsidP="000D09BB">
      <w:pPr>
        <w:pStyle w:val="Nzev"/>
        <w:pBdr>
          <w:bottom w:val="single" w:sz="12" w:space="1" w:color="auto"/>
        </w:pBdr>
        <w:jc w:val="left"/>
        <w:rPr>
          <w:szCs w:val="24"/>
        </w:rPr>
      </w:pPr>
      <w:r w:rsidRPr="00FA049C">
        <w:rPr>
          <w:szCs w:val="24"/>
        </w:rPr>
        <w:t>ve věci: Stav realizace projektu Rekonstrukce vozovny Slovany – informace pro členy ZMP</w:t>
      </w:r>
    </w:p>
    <w:p w:rsidR="00B50568" w:rsidRPr="003A450D" w:rsidRDefault="00B50568" w:rsidP="00B50568">
      <w:pPr>
        <w:pStyle w:val="Nzev"/>
        <w:pBdr>
          <w:bottom w:val="single" w:sz="12" w:space="1" w:color="auto"/>
        </w:pBdr>
        <w:rPr>
          <w:szCs w:val="24"/>
        </w:rPr>
      </w:pPr>
    </w:p>
    <w:p w:rsidR="00B50568" w:rsidRPr="003A450D" w:rsidRDefault="00B50568" w:rsidP="00B50568">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jc w:val="both"/>
        <w:rPr>
          <w:rFonts w:cs="Times New Roman"/>
          <w:sz w:val="24"/>
          <w:szCs w:val="24"/>
        </w:rPr>
      </w:pPr>
      <w:r w:rsidRPr="002B3C53">
        <w:rPr>
          <w:rFonts w:cs="Times New Roman"/>
          <w:sz w:val="24"/>
          <w:szCs w:val="24"/>
        </w:rPr>
        <w:t xml:space="preserve">1x za pololetí byla vyžádána informativní zpráva pro členy </w:t>
      </w:r>
      <w:r w:rsidR="00954066">
        <w:rPr>
          <w:rFonts w:cs="Times New Roman"/>
          <w:sz w:val="24"/>
          <w:szCs w:val="24"/>
        </w:rPr>
        <w:t>Z</w:t>
      </w:r>
      <w:r w:rsidRPr="002B3C53">
        <w:rPr>
          <w:rFonts w:cs="Times New Roman"/>
          <w:sz w:val="24"/>
          <w:szCs w:val="24"/>
        </w:rPr>
        <w:t xml:space="preserve">astupitelstva města Plzně ohledně stavu projektu Rekonstrukce vozovny Slovany. Níže je uveden text informativní zprávy obsahující podstatné informace za období od dubna 2021 do zpracování této informativní zprávy, tj. do 20. 10. 2021. </w:t>
      </w:r>
      <w:r w:rsidR="00954066">
        <w:rPr>
          <w:rFonts w:cs="Times New Roman"/>
          <w:sz w:val="24"/>
          <w:szCs w:val="24"/>
        </w:rPr>
        <w:t>Zprávu projednalo dne 27.</w:t>
      </w:r>
      <w:r w:rsidR="000F2545">
        <w:rPr>
          <w:rFonts w:cs="Times New Roman"/>
          <w:sz w:val="24"/>
          <w:szCs w:val="24"/>
        </w:rPr>
        <w:t xml:space="preserve"> </w:t>
      </w:r>
      <w:r w:rsidR="00954066">
        <w:rPr>
          <w:rFonts w:cs="Times New Roman"/>
          <w:sz w:val="24"/>
          <w:szCs w:val="24"/>
        </w:rPr>
        <w:t>10.</w:t>
      </w:r>
      <w:r w:rsidR="000F2545">
        <w:rPr>
          <w:rFonts w:cs="Times New Roman"/>
          <w:sz w:val="24"/>
          <w:szCs w:val="24"/>
        </w:rPr>
        <w:t xml:space="preserve"> </w:t>
      </w:r>
      <w:r w:rsidR="00954066">
        <w:rPr>
          <w:rFonts w:cs="Times New Roman"/>
          <w:sz w:val="24"/>
          <w:szCs w:val="24"/>
        </w:rPr>
        <w:t>2021 Představenstvo PMDP a dne 1.</w:t>
      </w:r>
      <w:r w:rsidR="0058455D">
        <w:rPr>
          <w:rFonts w:cs="Times New Roman"/>
          <w:sz w:val="24"/>
          <w:szCs w:val="24"/>
        </w:rPr>
        <w:t xml:space="preserve"> </w:t>
      </w:r>
      <w:r w:rsidR="00954066">
        <w:rPr>
          <w:rFonts w:cs="Times New Roman"/>
          <w:sz w:val="24"/>
          <w:szCs w:val="24"/>
        </w:rPr>
        <w:t>11.</w:t>
      </w:r>
      <w:r w:rsidR="0058455D">
        <w:rPr>
          <w:rFonts w:cs="Times New Roman"/>
          <w:sz w:val="24"/>
          <w:szCs w:val="24"/>
        </w:rPr>
        <w:t xml:space="preserve"> </w:t>
      </w:r>
      <w:r w:rsidR="00954066">
        <w:rPr>
          <w:rFonts w:cs="Times New Roman"/>
          <w:sz w:val="24"/>
          <w:szCs w:val="24"/>
        </w:rPr>
        <w:t>2021 by</w:t>
      </w:r>
      <w:r w:rsidR="00C87233">
        <w:rPr>
          <w:rFonts w:cs="Times New Roman"/>
          <w:sz w:val="24"/>
          <w:szCs w:val="24"/>
        </w:rPr>
        <w:t>la odeslána městu.</w:t>
      </w:r>
    </w:p>
    <w:p w:rsidR="00294AAD" w:rsidRPr="002B3C53" w:rsidRDefault="00294AAD" w:rsidP="00294AAD">
      <w:pPr>
        <w:jc w:val="both"/>
        <w:rPr>
          <w:rFonts w:cs="Times New Roman"/>
          <w:sz w:val="24"/>
          <w:szCs w:val="24"/>
        </w:rPr>
      </w:pPr>
    </w:p>
    <w:p w:rsidR="00294AAD" w:rsidRPr="002B3C53" w:rsidRDefault="00294AAD" w:rsidP="00294AAD">
      <w:pPr>
        <w:jc w:val="both"/>
        <w:rPr>
          <w:rFonts w:cs="Times New Roman"/>
          <w:b/>
          <w:sz w:val="24"/>
          <w:szCs w:val="24"/>
          <w:u w:val="single"/>
        </w:rPr>
      </w:pPr>
      <w:r w:rsidRPr="002B3C53">
        <w:rPr>
          <w:rFonts w:cs="Times New Roman"/>
          <w:b/>
          <w:sz w:val="24"/>
          <w:szCs w:val="24"/>
          <w:u w:val="single"/>
        </w:rPr>
        <w:t>Informativní zpráva pro členy ZMP: stav projektu Rekonstrukce vozovny Slovany</w:t>
      </w:r>
    </w:p>
    <w:p w:rsidR="00294AAD" w:rsidRPr="002B3C53" w:rsidRDefault="00294AAD" w:rsidP="00294AAD">
      <w:pPr>
        <w:jc w:val="both"/>
        <w:rPr>
          <w:rFonts w:cs="Times New Roman"/>
          <w:sz w:val="24"/>
          <w:szCs w:val="24"/>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Zhotovitel stavby:</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58455D">
      <w:pPr>
        <w:spacing w:after="0"/>
        <w:jc w:val="both"/>
        <w:rPr>
          <w:rFonts w:cs="Times New Roman"/>
          <w:b/>
          <w:sz w:val="24"/>
          <w:szCs w:val="24"/>
        </w:rPr>
      </w:pPr>
      <w:r w:rsidRPr="002B3C53">
        <w:rPr>
          <w:rFonts w:cs="Times New Roman"/>
          <w:sz w:val="24"/>
          <w:szCs w:val="24"/>
        </w:rPr>
        <w:t xml:space="preserve">Zhotovitelem stavby je </w:t>
      </w:r>
      <w:r w:rsidRPr="0057413C">
        <w:rPr>
          <w:rFonts w:cs="Times New Roman"/>
          <w:b/>
          <w:sz w:val="24"/>
          <w:szCs w:val="24"/>
        </w:rPr>
        <w:t>Společnost Vozovna Slovany</w:t>
      </w:r>
      <w:r w:rsidRPr="0057413C">
        <w:rPr>
          <w:rFonts w:cs="Times New Roman"/>
          <w:b/>
          <w:sz w:val="22"/>
          <w:szCs w:val="22"/>
        </w:rPr>
        <w:t xml:space="preserve"> (Metrostav a.s., BERGER BOHEMIA a.s., TSS GRADE a.s.)</w:t>
      </w:r>
      <w:r w:rsidRPr="002B3C53">
        <w:rPr>
          <w:rFonts w:cs="Times New Roman"/>
          <w:b/>
          <w:sz w:val="24"/>
          <w:szCs w:val="24"/>
        </w:rPr>
        <w:t>.</w:t>
      </w:r>
    </w:p>
    <w:p w:rsidR="00294AAD" w:rsidRPr="002B3C53" w:rsidRDefault="00294AAD" w:rsidP="0058455D">
      <w:pPr>
        <w:spacing w:after="0"/>
        <w:jc w:val="both"/>
        <w:rPr>
          <w:rFonts w:cs="Times New Roman"/>
          <w:sz w:val="24"/>
          <w:szCs w:val="24"/>
        </w:rPr>
      </w:pPr>
      <w:r w:rsidRPr="002B3C53">
        <w:rPr>
          <w:rFonts w:cs="Times New Roman"/>
          <w:sz w:val="24"/>
          <w:szCs w:val="24"/>
        </w:rPr>
        <w:t>Cena díla uvedená ve smlouvě o dílo při jejím uzavření: 1.697.894.702,32 Kč bez DPH.</w:t>
      </w:r>
    </w:p>
    <w:p w:rsidR="00294AAD" w:rsidRPr="002B3C53" w:rsidRDefault="00294AAD" w:rsidP="0058455D">
      <w:pPr>
        <w:jc w:val="both"/>
        <w:rPr>
          <w:rFonts w:cs="Times New Roman"/>
          <w:sz w:val="24"/>
          <w:szCs w:val="24"/>
        </w:rPr>
      </w:pPr>
    </w:p>
    <w:p w:rsidR="00294AAD" w:rsidRPr="002B3C53" w:rsidRDefault="00294AAD" w:rsidP="00294AAD">
      <w:pPr>
        <w:jc w:val="both"/>
        <w:rPr>
          <w:rFonts w:cs="Times New Roman"/>
          <w:sz w:val="24"/>
          <w:szCs w:val="24"/>
        </w:rPr>
      </w:pPr>
      <w:r w:rsidRPr="002B3C53">
        <w:rPr>
          <w:rFonts w:cs="Times New Roman"/>
          <w:sz w:val="24"/>
          <w:szCs w:val="24"/>
        </w:rPr>
        <w:t>Smlouva o dílo byla uzavřena dne 18. 9. 2020.</w:t>
      </w:r>
    </w:p>
    <w:p w:rsidR="00294AAD" w:rsidRPr="002B3C53" w:rsidRDefault="00294AAD" w:rsidP="0058455D">
      <w:pPr>
        <w:spacing w:after="0"/>
        <w:jc w:val="both"/>
        <w:rPr>
          <w:rFonts w:cs="Times New Roman"/>
          <w:sz w:val="24"/>
          <w:szCs w:val="24"/>
        </w:rPr>
      </w:pPr>
    </w:p>
    <w:p w:rsidR="00294AAD" w:rsidRPr="002B3C53" w:rsidRDefault="00294AAD" w:rsidP="00294AAD">
      <w:pPr>
        <w:jc w:val="both"/>
        <w:rPr>
          <w:rFonts w:cs="Times New Roman"/>
          <w:sz w:val="24"/>
          <w:szCs w:val="24"/>
        </w:rPr>
      </w:pPr>
      <w:r w:rsidRPr="002B3C53">
        <w:rPr>
          <w:rFonts w:cs="Times New Roman"/>
          <w:sz w:val="24"/>
          <w:szCs w:val="24"/>
        </w:rPr>
        <w:t>Dílo se realizuje v</w:t>
      </w:r>
      <w:r w:rsidR="0058455D">
        <w:rPr>
          <w:rFonts w:cs="Times New Roman"/>
          <w:sz w:val="24"/>
          <w:szCs w:val="24"/>
        </w:rPr>
        <w:t xml:space="preserve"> </w:t>
      </w:r>
      <w:r w:rsidRPr="002B3C53">
        <w:rPr>
          <w:rFonts w:cs="Times New Roman"/>
          <w:sz w:val="24"/>
          <w:szCs w:val="24"/>
        </w:rPr>
        <w:t>5 stavebních celcích s</w:t>
      </w:r>
      <w:r w:rsidR="0058455D">
        <w:rPr>
          <w:rFonts w:cs="Times New Roman"/>
          <w:sz w:val="24"/>
          <w:szCs w:val="24"/>
        </w:rPr>
        <w:t xml:space="preserve"> </w:t>
      </w:r>
      <w:r w:rsidRPr="002B3C53">
        <w:rPr>
          <w:rFonts w:cs="Times New Roman"/>
          <w:sz w:val="24"/>
          <w:szCs w:val="24"/>
        </w:rPr>
        <w:t xml:space="preserve">následujícími dílčími termíny dokončení </w:t>
      </w:r>
      <w:r w:rsidR="009D536D">
        <w:rPr>
          <w:rFonts w:cs="Times New Roman"/>
          <w:sz w:val="24"/>
          <w:szCs w:val="24"/>
        </w:rPr>
        <w:br/>
      </w:r>
      <w:r w:rsidRPr="002B3C53">
        <w:rPr>
          <w:rFonts w:cs="Times New Roman"/>
          <w:sz w:val="24"/>
          <w:szCs w:val="24"/>
        </w:rPr>
        <w:t>(tzv. Předběžné převzetí příslušného Stavebního celku za účelem zajištění zkušebního provozu):</w:t>
      </w:r>
    </w:p>
    <w:p w:rsidR="00294AAD" w:rsidRPr="0013158E" w:rsidRDefault="00294AAD" w:rsidP="009D536D">
      <w:pPr>
        <w:spacing w:after="0"/>
        <w:jc w:val="both"/>
        <w:rPr>
          <w:rFonts w:cs="Times New Roman"/>
          <w:sz w:val="16"/>
          <w:szCs w:val="16"/>
        </w:rPr>
      </w:pPr>
    </w:p>
    <w:p w:rsidR="00294AAD" w:rsidRPr="002B3C53" w:rsidRDefault="00294AAD" w:rsidP="00761E92">
      <w:pPr>
        <w:tabs>
          <w:tab w:val="left" w:pos="709"/>
        </w:tabs>
        <w:spacing w:after="0"/>
        <w:jc w:val="both"/>
        <w:rPr>
          <w:rFonts w:cs="Times New Roman"/>
          <w:sz w:val="24"/>
          <w:szCs w:val="24"/>
        </w:rPr>
      </w:pPr>
      <w:r w:rsidRPr="002B3C53">
        <w:rPr>
          <w:rFonts w:cs="Times New Roman"/>
          <w:sz w:val="24"/>
          <w:szCs w:val="24"/>
        </w:rPr>
        <w:t>SLA:</w:t>
      </w:r>
      <w:r w:rsidR="00761E92">
        <w:rPr>
          <w:rFonts w:cs="Times New Roman"/>
          <w:sz w:val="24"/>
          <w:szCs w:val="24"/>
        </w:rPr>
        <w:tab/>
      </w:r>
      <w:r w:rsidRPr="002B3C53">
        <w:rPr>
          <w:rFonts w:cs="Times New Roman"/>
          <w:sz w:val="24"/>
          <w:szCs w:val="24"/>
        </w:rPr>
        <w:t>11.</w:t>
      </w:r>
      <w:r w:rsidR="003A450D">
        <w:rPr>
          <w:rFonts w:cs="Times New Roman"/>
          <w:sz w:val="24"/>
          <w:szCs w:val="24"/>
        </w:rPr>
        <w:t xml:space="preserve"> </w:t>
      </w:r>
      <w:r w:rsidRPr="002B3C53">
        <w:rPr>
          <w:rFonts w:cs="Times New Roman"/>
          <w:sz w:val="24"/>
          <w:szCs w:val="24"/>
        </w:rPr>
        <w:t>02.</w:t>
      </w:r>
      <w:r w:rsidR="003A450D">
        <w:rPr>
          <w:rFonts w:cs="Times New Roman"/>
          <w:sz w:val="24"/>
          <w:szCs w:val="24"/>
        </w:rPr>
        <w:t xml:space="preserve"> </w:t>
      </w:r>
      <w:r w:rsidRPr="002B3C53">
        <w:rPr>
          <w:rFonts w:cs="Times New Roman"/>
          <w:sz w:val="24"/>
          <w:szCs w:val="24"/>
        </w:rPr>
        <w:t>2022</w:t>
      </w:r>
    </w:p>
    <w:p w:rsidR="00294AAD" w:rsidRPr="002B3C53" w:rsidRDefault="00294AAD" w:rsidP="00761E92">
      <w:pPr>
        <w:spacing w:after="0"/>
        <w:jc w:val="both"/>
        <w:rPr>
          <w:rFonts w:cs="Times New Roman"/>
          <w:sz w:val="24"/>
          <w:szCs w:val="24"/>
        </w:rPr>
      </w:pPr>
      <w:r w:rsidRPr="002B3C53">
        <w:rPr>
          <w:rFonts w:cs="Times New Roman"/>
          <w:sz w:val="24"/>
          <w:szCs w:val="24"/>
        </w:rPr>
        <w:t>ODT:</w:t>
      </w:r>
      <w:r w:rsidR="00761E92">
        <w:rPr>
          <w:rFonts w:cs="Times New Roman"/>
          <w:sz w:val="24"/>
          <w:szCs w:val="24"/>
        </w:rPr>
        <w:tab/>
      </w:r>
      <w:r w:rsidRPr="002B3C53">
        <w:rPr>
          <w:rFonts w:cs="Times New Roman"/>
          <w:sz w:val="24"/>
          <w:szCs w:val="24"/>
        </w:rPr>
        <w:t>18. 07. 2022</w:t>
      </w:r>
    </w:p>
    <w:p w:rsidR="00294AAD" w:rsidRPr="002B3C53" w:rsidRDefault="00294AAD" w:rsidP="00761E92">
      <w:pPr>
        <w:spacing w:after="0"/>
        <w:jc w:val="both"/>
        <w:rPr>
          <w:rFonts w:cs="Times New Roman"/>
          <w:sz w:val="24"/>
          <w:szCs w:val="24"/>
        </w:rPr>
      </w:pPr>
      <w:r w:rsidRPr="002B3C53">
        <w:rPr>
          <w:rFonts w:cs="Times New Roman"/>
          <w:sz w:val="24"/>
          <w:szCs w:val="24"/>
        </w:rPr>
        <w:t>OUT:</w:t>
      </w:r>
      <w:r w:rsidR="00761E92">
        <w:rPr>
          <w:rFonts w:cs="Times New Roman"/>
          <w:sz w:val="24"/>
          <w:szCs w:val="24"/>
        </w:rPr>
        <w:tab/>
      </w:r>
      <w:r w:rsidRPr="002B3C53">
        <w:rPr>
          <w:rFonts w:cs="Times New Roman"/>
          <w:sz w:val="24"/>
          <w:szCs w:val="24"/>
        </w:rPr>
        <w:t>20. 03. 2022</w:t>
      </w:r>
    </w:p>
    <w:p w:rsidR="00294AAD" w:rsidRPr="002B3C53" w:rsidRDefault="00294AAD" w:rsidP="00761E92">
      <w:pPr>
        <w:spacing w:after="0"/>
        <w:jc w:val="both"/>
        <w:rPr>
          <w:rFonts w:cs="Times New Roman"/>
          <w:sz w:val="24"/>
          <w:szCs w:val="24"/>
        </w:rPr>
      </w:pPr>
      <w:r w:rsidRPr="002B3C53">
        <w:rPr>
          <w:rFonts w:cs="Times New Roman"/>
          <w:sz w:val="24"/>
          <w:szCs w:val="24"/>
        </w:rPr>
        <w:t>PAB:</w:t>
      </w:r>
      <w:r w:rsidR="00761E92">
        <w:rPr>
          <w:rFonts w:cs="Times New Roman"/>
          <w:sz w:val="24"/>
          <w:szCs w:val="24"/>
        </w:rPr>
        <w:tab/>
      </w:r>
      <w:r w:rsidRPr="002B3C53">
        <w:rPr>
          <w:rFonts w:cs="Times New Roman"/>
          <w:sz w:val="24"/>
          <w:szCs w:val="24"/>
        </w:rPr>
        <w:t>30. 11. 2022</w:t>
      </w:r>
    </w:p>
    <w:p w:rsidR="00294AAD" w:rsidRPr="002B3C53" w:rsidRDefault="00294AAD" w:rsidP="009D536D">
      <w:pPr>
        <w:jc w:val="both"/>
        <w:rPr>
          <w:rFonts w:cs="Times New Roman"/>
          <w:sz w:val="24"/>
          <w:szCs w:val="24"/>
        </w:rPr>
      </w:pPr>
      <w:r w:rsidRPr="002B3C53">
        <w:rPr>
          <w:rFonts w:cs="Times New Roman"/>
          <w:sz w:val="24"/>
          <w:szCs w:val="24"/>
        </w:rPr>
        <w:t>VST:</w:t>
      </w:r>
      <w:r w:rsidR="00761E92">
        <w:rPr>
          <w:rFonts w:cs="Times New Roman"/>
          <w:sz w:val="24"/>
          <w:szCs w:val="24"/>
        </w:rPr>
        <w:tab/>
      </w:r>
      <w:r w:rsidRPr="002B3C53">
        <w:rPr>
          <w:rFonts w:cs="Times New Roman"/>
          <w:sz w:val="24"/>
          <w:szCs w:val="24"/>
        </w:rPr>
        <w:t>30. 11. 2022</w:t>
      </w:r>
    </w:p>
    <w:p w:rsidR="00294AAD" w:rsidRPr="0013158E" w:rsidRDefault="00294AAD" w:rsidP="00DA4C1F">
      <w:pPr>
        <w:spacing w:after="0"/>
        <w:jc w:val="both"/>
        <w:rPr>
          <w:rFonts w:cs="Times New Roman"/>
          <w:sz w:val="16"/>
          <w:szCs w:val="16"/>
        </w:rPr>
      </w:pPr>
    </w:p>
    <w:p w:rsidR="00294AAD" w:rsidRPr="002B3C53" w:rsidRDefault="00294AAD" w:rsidP="00294AAD">
      <w:pPr>
        <w:jc w:val="both"/>
        <w:rPr>
          <w:rFonts w:cs="Times New Roman"/>
          <w:sz w:val="24"/>
          <w:szCs w:val="24"/>
          <w:u w:val="single"/>
        </w:rPr>
      </w:pPr>
      <w:r w:rsidRPr="002B3C53">
        <w:rPr>
          <w:rFonts w:cs="Times New Roman"/>
          <w:sz w:val="24"/>
          <w:szCs w:val="24"/>
        </w:rPr>
        <w:t>Plnění smlouvy KOOBOZP a TDS probíhá bez problémů. U obou činností došlo ke změnám odpovědných osob, u kterých bylo před povolením změny ověřeno, že splňují požadavky na kvalifikaci, jak bylo požadováno zadávacími podmínkami pro výběr dodavatele na činnosti KOOBOZP a TDS.</w:t>
      </w:r>
    </w:p>
    <w:p w:rsidR="009D536D" w:rsidRDefault="009D536D" w:rsidP="00294AAD">
      <w:pPr>
        <w:pStyle w:val="Bezmezer"/>
        <w:jc w:val="both"/>
        <w:rPr>
          <w:rFonts w:ascii="Times New Roman" w:eastAsia="Times New Roman" w:hAnsi="Times New Roman" w:cs="Times New Roman"/>
          <w:sz w:val="24"/>
          <w:szCs w:val="24"/>
          <w:u w:val="single"/>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Dotace:</w:t>
      </w:r>
    </w:p>
    <w:p w:rsidR="00294AAD" w:rsidRPr="002B3C53" w:rsidRDefault="00294AAD" w:rsidP="00294AAD">
      <w:pPr>
        <w:rPr>
          <w:rStyle w:val="Hypertextovodkaz"/>
          <w:rFonts w:cs="Times New Roman"/>
          <w:sz w:val="24"/>
          <w:szCs w:val="24"/>
        </w:rPr>
      </w:pPr>
    </w:p>
    <w:p w:rsidR="00294AAD" w:rsidRPr="002B3C53" w:rsidRDefault="00294AAD" w:rsidP="00DA4C1F">
      <w:pPr>
        <w:spacing w:after="0"/>
        <w:jc w:val="both"/>
        <w:rPr>
          <w:rFonts w:cs="Times New Roman"/>
          <w:sz w:val="24"/>
          <w:szCs w:val="24"/>
        </w:rPr>
      </w:pPr>
      <w:r w:rsidRPr="002B3C53">
        <w:rPr>
          <w:rFonts w:cs="Times New Roman"/>
          <w:sz w:val="24"/>
          <w:szCs w:val="24"/>
        </w:rPr>
        <w:t>Dotace byla schválena ve výši 720,5 mil. Kč.</w:t>
      </w:r>
    </w:p>
    <w:p w:rsidR="00294AAD" w:rsidRPr="002B3C53" w:rsidRDefault="00294AAD" w:rsidP="00DA4C1F">
      <w:pPr>
        <w:spacing w:after="0"/>
        <w:jc w:val="both"/>
        <w:rPr>
          <w:rFonts w:cs="Times New Roman"/>
          <w:sz w:val="24"/>
          <w:szCs w:val="24"/>
        </w:rPr>
      </w:pPr>
    </w:p>
    <w:p w:rsidR="00294AAD" w:rsidRDefault="00294AAD" w:rsidP="00DA4C1F">
      <w:pPr>
        <w:spacing w:after="0"/>
        <w:jc w:val="both"/>
        <w:rPr>
          <w:rFonts w:cs="Times New Roman"/>
          <w:sz w:val="24"/>
          <w:szCs w:val="24"/>
        </w:rPr>
      </w:pPr>
      <w:r w:rsidRPr="002B3C53">
        <w:rPr>
          <w:rFonts w:cs="Times New Roman"/>
          <w:sz w:val="24"/>
          <w:szCs w:val="24"/>
        </w:rPr>
        <w:t xml:space="preserve">Pro rok 2021 jsme očekávali zálohové platby ve výši 301 mil. Kč. Dosud jsme vyúčtovali </w:t>
      </w:r>
      <w:r w:rsidR="00CB3E1B">
        <w:rPr>
          <w:rFonts w:cs="Times New Roman"/>
          <w:sz w:val="24"/>
          <w:szCs w:val="24"/>
        </w:rPr>
        <w:br/>
      </w:r>
      <w:r w:rsidRPr="002B3C53">
        <w:rPr>
          <w:rFonts w:cs="Times New Roman"/>
          <w:sz w:val="24"/>
          <w:szCs w:val="24"/>
        </w:rPr>
        <w:t>cca 240 mil. Kč.</w:t>
      </w:r>
    </w:p>
    <w:p w:rsidR="00DA4C1F" w:rsidRPr="002B3C53" w:rsidRDefault="00DA4C1F" w:rsidP="00DA4C1F">
      <w:pPr>
        <w:spacing w:after="0"/>
        <w:jc w:val="both"/>
        <w:rPr>
          <w:rFonts w:cs="Times New Roman"/>
          <w:sz w:val="24"/>
          <w:szCs w:val="24"/>
        </w:rPr>
      </w:pPr>
    </w:p>
    <w:p w:rsidR="00294AAD" w:rsidRPr="002B3C53" w:rsidRDefault="00294AAD" w:rsidP="00DA4C1F">
      <w:pPr>
        <w:spacing w:after="0"/>
        <w:jc w:val="both"/>
        <w:rPr>
          <w:rFonts w:cs="Times New Roman"/>
          <w:sz w:val="24"/>
          <w:szCs w:val="24"/>
        </w:rPr>
      </w:pPr>
      <w:r w:rsidRPr="002B3C53">
        <w:rPr>
          <w:rFonts w:cs="Times New Roman"/>
          <w:sz w:val="24"/>
          <w:szCs w:val="24"/>
        </w:rPr>
        <w:t xml:space="preserve">Řídicí orgán schválil dne 1. 6. 2021 žádost o prodloužení fyzické realizace projektu </w:t>
      </w:r>
      <w:r w:rsidRPr="002B3C53">
        <w:rPr>
          <w:rFonts w:cs="Times New Roman"/>
          <w:sz w:val="24"/>
          <w:szCs w:val="24"/>
        </w:rPr>
        <w:br/>
        <w:t>a způsobilosti výdajů na 31. 3. 2023. Z pohledu dotačních pravidel je tedy možné ukončit realizaci až 31. 3. 2023.</w:t>
      </w:r>
    </w:p>
    <w:p w:rsidR="00CB3E1B" w:rsidRPr="002B3C53" w:rsidRDefault="00CB3E1B" w:rsidP="00C87233">
      <w:pPr>
        <w:spacing w:after="0"/>
        <w:rPr>
          <w:rFonts w:cs="Times New Roman"/>
          <w:sz w:val="24"/>
          <w:szCs w:val="24"/>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Časový harmonogram:</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Stavba rekonstrukce probíhá dle harmonogramu stavby.</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Dne 30. 3. 2021 obdržely PMDP od zhotovitele návrh na úpravu harmonogramu ohledně výstavby PAB, s návrhem dřívějšího zahájení prací na tomto stavebním objektu o 3 měsíce dříve oproti původnímu plánu, a to již 1. 5. 2021.</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Dne 27. 4. 2021 byl časový harmonogram nahrazen jeho aktualizací spolu s</w:t>
      </w:r>
      <w:r w:rsidR="00CB3E1B">
        <w:rPr>
          <w:rFonts w:ascii="Times New Roman" w:eastAsia="Times New Roman" w:hAnsi="Times New Roman" w:cs="Times New Roman"/>
          <w:sz w:val="24"/>
          <w:szCs w:val="24"/>
          <w:lang w:val="cs-CZ" w:eastAsia="cs-CZ"/>
        </w:rPr>
        <w:t xml:space="preserve"> </w:t>
      </w:r>
      <w:r w:rsidRPr="002B3C53">
        <w:rPr>
          <w:rFonts w:ascii="Times New Roman" w:eastAsia="Times New Roman" w:hAnsi="Times New Roman" w:cs="Times New Roman"/>
          <w:sz w:val="24"/>
          <w:szCs w:val="24"/>
          <w:lang w:val="cs-CZ" w:eastAsia="cs-CZ"/>
        </w:rPr>
        <w:t>aktualizací finančního plánu</w:t>
      </w:r>
      <w:r w:rsidR="00CB3E1B">
        <w:rPr>
          <w:rFonts w:ascii="Times New Roman" w:eastAsia="Times New Roman" w:hAnsi="Times New Roman" w:cs="Times New Roman"/>
          <w:sz w:val="24"/>
          <w:szCs w:val="24"/>
          <w:lang w:val="cs-CZ" w:eastAsia="cs-CZ"/>
        </w:rPr>
        <w:t>.</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 xml:space="preserve">Mezní termín pro Předběžné převzetí posledního Stavebního celku je stanoven do </w:t>
      </w:r>
      <w:r w:rsidRPr="002B3C53">
        <w:rPr>
          <w:rFonts w:ascii="Times New Roman" w:eastAsia="Times New Roman" w:hAnsi="Times New Roman" w:cs="Times New Roman"/>
          <w:sz w:val="24"/>
          <w:szCs w:val="24"/>
          <w:lang w:val="cs-CZ" w:eastAsia="cs-CZ"/>
        </w:rPr>
        <w:br/>
        <w:t>30. 11. 2022. K posunu tohoto termínu zatím nedošlo, nicméně zhotovitel již vznesl požadavek na prodloužení termínu, o tomto budeme se zhotovitelem jednat.</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Kontrolní dny:</w:t>
      </w: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Kontrolní dny na stavbě probíhají každé úterý. Z každého kontrolního dne je zpracován podrobný zápis.</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Fakturace:</w:t>
      </w: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p>
    <w:p w:rsidR="00294AAD" w:rsidRPr="002B3C53" w:rsidRDefault="00294AAD" w:rsidP="00294AAD">
      <w:pPr>
        <w:jc w:val="both"/>
        <w:rPr>
          <w:rFonts w:cs="Times New Roman"/>
          <w:sz w:val="24"/>
          <w:szCs w:val="24"/>
        </w:rPr>
      </w:pPr>
      <w:r w:rsidRPr="002B3C53">
        <w:rPr>
          <w:rFonts w:cs="Times New Roman"/>
          <w:sz w:val="24"/>
          <w:szCs w:val="24"/>
        </w:rPr>
        <w:t>Fakturace probíhá na základě Zjišťovacích protokolů a je odsouhlasována ze strany TDS.</w:t>
      </w:r>
      <w:r w:rsidR="008058A4">
        <w:rPr>
          <w:rFonts w:cs="Times New Roman"/>
          <w:sz w:val="24"/>
          <w:szCs w:val="24"/>
        </w:rPr>
        <w:br/>
      </w:r>
      <w:r w:rsidRPr="002B3C53">
        <w:rPr>
          <w:rFonts w:cs="Times New Roman"/>
          <w:sz w:val="24"/>
          <w:szCs w:val="24"/>
        </w:rPr>
        <w:t>Ke dni zpracování této informativní zprávy bylo zhotoviteli uhrazeno celkem 478</w:t>
      </w:r>
      <w:r w:rsidRPr="002B3C53">
        <w:rPr>
          <w:rFonts w:cs="Times New Roman"/>
          <w:bCs/>
          <w:sz w:val="24"/>
          <w:szCs w:val="24"/>
        </w:rPr>
        <w:t> 700 872,18 Kč</w:t>
      </w:r>
      <w:r w:rsidR="006155A4">
        <w:rPr>
          <w:rFonts w:cs="Times New Roman"/>
          <w:bCs/>
          <w:sz w:val="24"/>
          <w:szCs w:val="24"/>
        </w:rPr>
        <w:br/>
      </w:r>
      <w:r w:rsidRPr="002B3C53">
        <w:rPr>
          <w:rFonts w:cs="Times New Roman"/>
          <w:sz w:val="24"/>
          <w:szCs w:val="24"/>
        </w:rPr>
        <w:t>(cca 28,19% z ceny dle smlouvy o dílo).</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7047"/>
      </w:tblGrid>
      <w:tr w:rsidR="00294AAD" w:rsidRPr="002B3C53" w:rsidTr="0029349B">
        <w:trPr>
          <w:trHeight w:val="615"/>
        </w:trPr>
        <w:tc>
          <w:tcPr>
            <w:tcW w:w="2020" w:type="dxa"/>
            <w:shd w:val="clear" w:color="auto" w:fill="auto"/>
            <w:noWrap/>
            <w:vAlign w:val="center"/>
            <w:hideMark/>
          </w:tcPr>
          <w:p w:rsidR="00294AAD" w:rsidRPr="002B3C53" w:rsidRDefault="00294AAD" w:rsidP="0029349B">
            <w:pPr>
              <w:jc w:val="center"/>
              <w:rPr>
                <w:rFonts w:cs="Times New Roman"/>
                <w:sz w:val="24"/>
                <w:szCs w:val="24"/>
              </w:rPr>
            </w:pPr>
            <w:r w:rsidRPr="002B3C53">
              <w:rPr>
                <w:rFonts w:cs="Times New Roman"/>
                <w:sz w:val="24"/>
                <w:szCs w:val="24"/>
              </w:rPr>
              <w:t>Měsíc</w:t>
            </w:r>
          </w:p>
        </w:tc>
        <w:tc>
          <w:tcPr>
            <w:tcW w:w="7047" w:type="dxa"/>
            <w:shd w:val="clear" w:color="auto" w:fill="auto"/>
            <w:noWrap/>
            <w:vAlign w:val="center"/>
            <w:hideMark/>
          </w:tcPr>
          <w:p w:rsidR="00294AAD" w:rsidRPr="002B3C53" w:rsidRDefault="00294AAD" w:rsidP="0029349B">
            <w:pPr>
              <w:jc w:val="center"/>
              <w:rPr>
                <w:rFonts w:cs="Times New Roman"/>
                <w:sz w:val="24"/>
                <w:szCs w:val="24"/>
              </w:rPr>
            </w:pPr>
            <w:r w:rsidRPr="002B3C53">
              <w:rPr>
                <w:rFonts w:cs="Times New Roman"/>
                <w:sz w:val="24"/>
                <w:szCs w:val="24"/>
              </w:rPr>
              <w:t xml:space="preserve"> Fakturováno celkem v Kč bez DPH</w:t>
            </w:r>
          </w:p>
        </w:tc>
      </w:tr>
      <w:tr w:rsidR="00294AAD" w:rsidRPr="002B3C53" w:rsidTr="0029349B">
        <w:trPr>
          <w:trHeight w:val="360"/>
        </w:trPr>
        <w:tc>
          <w:tcPr>
            <w:tcW w:w="2020" w:type="dxa"/>
            <w:shd w:val="clear" w:color="auto" w:fill="auto"/>
            <w:noWrap/>
            <w:vAlign w:val="bottom"/>
            <w:hideMark/>
          </w:tcPr>
          <w:p w:rsidR="00294AAD" w:rsidRPr="002B3C53" w:rsidRDefault="00294AAD" w:rsidP="0029349B">
            <w:pPr>
              <w:rPr>
                <w:rFonts w:cs="Times New Roman"/>
                <w:sz w:val="24"/>
                <w:szCs w:val="24"/>
              </w:rPr>
            </w:pPr>
            <w:r w:rsidRPr="002B3C53">
              <w:rPr>
                <w:rFonts w:cs="Times New Roman"/>
                <w:sz w:val="24"/>
                <w:szCs w:val="24"/>
              </w:rPr>
              <w:t>Říjen 2020</w:t>
            </w:r>
          </w:p>
        </w:tc>
        <w:tc>
          <w:tcPr>
            <w:tcW w:w="7047" w:type="dxa"/>
            <w:shd w:val="clear" w:color="auto" w:fill="auto"/>
            <w:noWrap/>
            <w:vAlign w:val="bottom"/>
            <w:hideMark/>
          </w:tcPr>
          <w:p w:rsidR="00294AAD" w:rsidRPr="002B3C53" w:rsidRDefault="00294AAD" w:rsidP="0029349B">
            <w:pPr>
              <w:rPr>
                <w:rFonts w:cs="Times New Roman"/>
                <w:sz w:val="24"/>
                <w:szCs w:val="24"/>
              </w:rPr>
            </w:pPr>
            <w:r w:rsidRPr="002B3C53">
              <w:rPr>
                <w:rFonts w:cs="Times New Roman"/>
                <w:sz w:val="24"/>
                <w:szCs w:val="24"/>
              </w:rPr>
              <w:t xml:space="preserve">     8 877 019,43 Kč </w:t>
            </w:r>
          </w:p>
        </w:tc>
      </w:tr>
      <w:tr w:rsidR="00294AAD" w:rsidRPr="002B3C53" w:rsidTr="0029349B">
        <w:trPr>
          <w:trHeight w:val="360"/>
        </w:trPr>
        <w:tc>
          <w:tcPr>
            <w:tcW w:w="2020" w:type="dxa"/>
            <w:shd w:val="clear" w:color="auto" w:fill="auto"/>
            <w:noWrap/>
            <w:vAlign w:val="bottom"/>
            <w:hideMark/>
          </w:tcPr>
          <w:p w:rsidR="00294AAD" w:rsidRPr="002B3C53" w:rsidRDefault="00294AAD" w:rsidP="0029349B">
            <w:pPr>
              <w:rPr>
                <w:rFonts w:cs="Times New Roman"/>
                <w:sz w:val="24"/>
                <w:szCs w:val="24"/>
              </w:rPr>
            </w:pPr>
            <w:r w:rsidRPr="002B3C53">
              <w:rPr>
                <w:rFonts w:cs="Times New Roman"/>
                <w:sz w:val="24"/>
                <w:szCs w:val="24"/>
              </w:rPr>
              <w:t>Listopad 2020</w:t>
            </w:r>
          </w:p>
        </w:tc>
        <w:tc>
          <w:tcPr>
            <w:tcW w:w="7047" w:type="dxa"/>
            <w:shd w:val="clear" w:color="auto" w:fill="auto"/>
            <w:noWrap/>
            <w:vAlign w:val="bottom"/>
            <w:hideMark/>
          </w:tcPr>
          <w:p w:rsidR="00294AAD" w:rsidRPr="002B3C53" w:rsidRDefault="00294AAD" w:rsidP="0029349B">
            <w:pPr>
              <w:rPr>
                <w:rFonts w:cs="Times New Roman"/>
                <w:sz w:val="24"/>
                <w:szCs w:val="24"/>
              </w:rPr>
            </w:pPr>
            <w:r w:rsidRPr="002B3C53">
              <w:rPr>
                <w:rFonts w:cs="Times New Roman"/>
                <w:sz w:val="24"/>
                <w:szCs w:val="24"/>
              </w:rPr>
              <w:t xml:space="preserve">   11 381 072,35 Kč </w:t>
            </w:r>
          </w:p>
        </w:tc>
      </w:tr>
      <w:tr w:rsidR="00294AAD" w:rsidRPr="002B3C53" w:rsidTr="0029349B">
        <w:trPr>
          <w:trHeight w:val="360"/>
        </w:trPr>
        <w:tc>
          <w:tcPr>
            <w:tcW w:w="2020" w:type="dxa"/>
            <w:shd w:val="clear" w:color="auto" w:fill="auto"/>
            <w:noWrap/>
            <w:vAlign w:val="bottom"/>
            <w:hideMark/>
          </w:tcPr>
          <w:p w:rsidR="00294AAD" w:rsidRPr="002B3C53" w:rsidRDefault="00294AAD" w:rsidP="0029349B">
            <w:pPr>
              <w:rPr>
                <w:rFonts w:cs="Times New Roman"/>
                <w:sz w:val="24"/>
                <w:szCs w:val="24"/>
              </w:rPr>
            </w:pPr>
            <w:r w:rsidRPr="002B3C53">
              <w:rPr>
                <w:rFonts w:cs="Times New Roman"/>
                <w:sz w:val="24"/>
                <w:szCs w:val="24"/>
              </w:rPr>
              <w:t>Prosinec 2020</w:t>
            </w:r>
          </w:p>
        </w:tc>
        <w:tc>
          <w:tcPr>
            <w:tcW w:w="7047" w:type="dxa"/>
            <w:shd w:val="clear" w:color="auto" w:fill="auto"/>
            <w:noWrap/>
            <w:vAlign w:val="bottom"/>
            <w:hideMark/>
          </w:tcPr>
          <w:p w:rsidR="00294AAD" w:rsidRPr="002B3C53" w:rsidRDefault="00294AAD" w:rsidP="0029349B">
            <w:pPr>
              <w:rPr>
                <w:rFonts w:cs="Times New Roman"/>
                <w:sz w:val="24"/>
                <w:szCs w:val="24"/>
              </w:rPr>
            </w:pPr>
            <w:r w:rsidRPr="002B3C53">
              <w:rPr>
                <w:rFonts w:cs="Times New Roman"/>
                <w:sz w:val="24"/>
                <w:szCs w:val="24"/>
              </w:rPr>
              <w:t xml:space="preserve">   11 616 767,31 Kč </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Leden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34 585 429,30 Kč </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Únor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16 457 970,82 Kč</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Březen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29 938 509,13 Kč</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Duben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26 727 512,22 Kč </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Květen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47 184 219,26 Kč</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Červen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91 491 183,75 Kč</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Červenec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65 698 353,53 Kč</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Srpen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65 376 705,65 Kč</w:t>
            </w:r>
          </w:p>
        </w:tc>
      </w:tr>
      <w:tr w:rsidR="00294AAD" w:rsidRPr="002B3C53" w:rsidTr="0029349B">
        <w:trPr>
          <w:trHeight w:val="360"/>
        </w:trPr>
        <w:tc>
          <w:tcPr>
            <w:tcW w:w="2020"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Září 2021</w:t>
            </w:r>
          </w:p>
        </w:tc>
        <w:tc>
          <w:tcPr>
            <w:tcW w:w="7047" w:type="dxa"/>
            <w:shd w:val="clear" w:color="auto" w:fill="auto"/>
            <w:noWrap/>
            <w:vAlign w:val="bottom"/>
          </w:tcPr>
          <w:p w:rsidR="00294AAD" w:rsidRPr="002B3C53" w:rsidRDefault="00294AAD" w:rsidP="0029349B">
            <w:pPr>
              <w:rPr>
                <w:rFonts w:cs="Times New Roman"/>
                <w:sz w:val="24"/>
                <w:szCs w:val="24"/>
              </w:rPr>
            </w:pPr>
            <w:r w:rsidRPr="002B3C53">
              <w:rPr>
                <w:rFonts w:cs="Times New Roman"/>
                <w:sz w:val="24"/>
                <w:szCs w:val="24"/>
              </w:rPr>
              <w:t xml:space="preserve">   69 366 129,44 Kč </w:t>
            </w:r>
          </w:p>
        </w:tc>
      </w:tr>
    </w:tbl>
    <w:p w:rsidR="00294AAD" w:rsidRPr="002B3C53" w:rsidRDefault="00294AAD" w:rsidP="00294AAD">
      <w:pPr>
        <w:rPr>
          <w:rFonts w:cs="Times New Roman"/>
          <w:sz w:val="24"/>
          <w:szCs w:val="24"/>
        </w:rPr>
      </w:pPr>
    </w:p>
    <w:p w:rsidR="00294AAD" w:rsidRPr="002B3C53" w:rsidRDefault="00294AAD" w:rsidP="006155A4">
      <w:pPr>
        <w:spacing w:after="0"/>
        <w:jc w:val="both"/>
        <w:rPr>
          <w:rFonts w:cs="Times New Roman"/>
          <w:sz w:val="24"/>
          <w:szCs w:val="24"/>
        </w:rPr>
      </w:pPr>
      <w:r w:rsidRPr="002B3C53">
        <w:rPr>
          <w:rFonts w:cs="Times New Roman"/>
          <w:sz w:val="24"/>
          <w:szCs w:val="24"/>
        </w:rPr>
        <w:t>Fakturace probíhá na základě Zjišťovacích protokolů a je odsouhlasována ze strany TDS.</w:t>
      </w:r>
    </w:p>
    <w:p w:rsidR="006155A4" w:rsidRDefault="006155A4" w:rsidP="00294AAD">
      <w:pPr>
        <w:pStyle w:val="Bezmezer"/>
        <w:jc w:val="both"/>
        <w:rPr>
          <w:rFonts w:ascii="Times New Roman" w:eastAsia="Times New Roman" w:hAnsi="Times New Roman" w:cs="Times New Roman"/>
          <w:sz w:val="24"/>
          <w:szCs w:val="24"/>
          <w:u w:val="single"/>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Dodatky ke Smlouvě o dílo:</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Ke Smlouvě o dílo byly uzavřeny 2 dodatky.</w:t>
      </w:r>
    </w:p>
    <w:p w:rsidR="004272E4" w:rsidRPr="002B3C53" w:rsidRDefault="004272E4"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Dodatek č. 1: navýšení ceny díla podle Změnových listů č. 1, 2, 3, 4, 6, 8, 9, 10 a 14,</w:t>
      </w:r>
      <w:r w:rsidR="006155A4">
        <w:rPr>
          <w:rFonts w:ascii="Times New Roman" w:eastAsia="Times New Roman" w:hAnsi="Times New Roman" w:cs="Times New Roman"/>
          <w:sz w:val="24"/>
          <w:szCs w:val="24"/>
          <w:lang w:val="cs-CZ" w:eastAsia="cs-CZ"/>
        </w:rPr>
        <w:br/>
      </w:r>
      <w:r w:rsidRPr="002B3C53">
        <w:rPr>
          <w:rFonts w:ascii="Times New Roman" w:eastAsia="Times New Roman" w:hAnsi="Times New Roman" w:cs="Times New Roman"/>
          <w:sz w:val="24"/>
          <w:szCs w:val="24"/>
          <w:lang w:val="cs-CZ" w:eastAsia="cs-CZ"/>
        </w:rPr>
        <w:t>celkem o částku 12.201.220,53 Kč bez DPH.</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 xml:space="preserve">Příslušný dodatek je zveřejněn v registru smluv zde: </w:t>
      </w:r>
    </w:p>
    <w:p w:rsidR="00294AAD" w:rsidRPr="00B01330" w:rsidRDefault="00C606D9" w:rsidP="00294AAD">
      <w:pPr>
        <w:pStyle w:val="Bezmezer"/>
        <w:jc w:val="both"/>
        <w:rPr>
          <w:rStyle w:val="Hypertextovodkaz"/>
          <w:rFonts w:ascii="Times New Roman" w:hAnsi="Times New Roman" w:cs="Times New Roman"/>
          <w:color w:val="0000FF"/>
          <w:sz w:val="24"/>
          <w:szCs w:val="24"/>
        </w:rPr>
      </w:pPr>
      <w:hyperlink r:id="rId7" w:history="1">
        <w:r w:rsidR="00294AAD" w:rsidRPr="00B01330">
          <w:rPr>
            <w:rStyle w:val="Hypertextovodkaz"/>
            <w:rFonts w:ascii="Times New Roman" w:hAnsi="Times New Roman" w:cs="Times New Roman"/>
            <w:color w:val="0000FF"/>
            <w:sz w:val="24"/>
            <w:szCs w:val="24"/>
          </w:rPr>
          <w:t>https://smlouvy.gov.cz/smlouva/17403779</w:t>
        </w:r>
      </w:hyperlink>
    </w:p>
    <w:p w:rsidR="00294AAD"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6155A4">
      <w:pPr>
        <w:spacing w:after="0"/>
        <w:jc w:val="both"/>
        <w:rPr>
          <w:rFonts w:cs="Times New Roman"/>
          <w:sz w:val="24"/>
          <w:szCs w:val="24"/>
        </w:rPr>
      </w:pPr>
      <w:r w:rsidRPr="002B3C53">
        <w:rPr>
          <w:rFonts w:cs="Times New Roman"/>
          <w:sz w:val="24"/>
          <w:szCs w:val="24"/>
        </w:rPr>
        <w:t>Dodatek č. 2: navýšení ceny díla podle Změnových listů č. 12, 13, 15, 16, 19, 22 a 25</w:t>
      </w:r>
      <w:r w:rsidR="006155A4">
        <w:rPr>
          <w:rFonts w:cs="Times New Roman"/>
          <w:sz w:val="24"/>
          <w:szCs w:val="24"/>
        </w:rPr>
        <w:t>,</w:t>
      </w:r>
      <w:r w:rsidR="006155A4">
        <w:rPr>
          <w:rFonts w:cs="Times New Roman"/>
          <w:sz w:val="24"/>
          <w:szCs w:val="24"/>
        </w:rPr>
        <w:br/>
      </w:r>
      <w:r w:rsidRPr="002B3C53">
        <w:rPr>
          <w:rFonts w:cs="Times New Roman"/>
          <w:sz w:val="24"/>
          <w:szCs w:val="24"/>
        </w:rPr>
        <w:t>celkem o částku 18 585 924,69</w:t>
      </w:r>
      <w:r w:rsidRPr="002B3C53">
        <w:rPr>
          <w:rFonts w:cs="Times New Roman"/>
          <w:b/>
          <w:sz w:val="24"/>
          <w:szCs w:val="24"/>
        </w:rPr>
        <w:t xml:space="preserve"> </w:t>
      </w:r>
      <w:r w:rsidRPr="002B3C53">
        <w:rPr>
          <w:rFonts w:cs="Times New Roman"/>
          <w:sz w:val="24"/>
          <w:szCs w:val="24"/>
        </w:rPr>
        <w:t>Kč bez DPH Kč.</w:t>
      </w:r>
    </w:p>
    <w:p w:rsidR="00294AAD" w:rsidRPr="002B3C53" w:rsidRDefault="00294AAD" w:rsidP="006155A4">
      <w:pPr>
        <w:spacing w:after="0"/>
        <w:jc w:val="both"/>
        <w:rPr>
          <w:rFonts w:cs="Times New Roman"/>
          <w:sz w:val="24"/>
          <w:szCs w:val="24"/>
        </w:rPr>
      </w:pPr>
    </w:p>
    <w:p w:rsidR="00294AAD" w:rsidRPr="002B3C53" w:rsidRDefault="00294AAD" w:rsidP="006155A4">
      <w:pPr>
        <w:spacing w:after="0"/>
        <w:jc w:val="both"/>
        <w:rPr>
          <w:rFonts w:cs="Times New Roman"/>
          <w:sz w:val="24"/>
          <w:szCs w:val="24"/>
        </w:rPr>
      </w:pPr>
      <w:r w:rsidRPr="002B3C53">
        <w:rPr>
          <w:rFonts w:cs="Times New Roman"/>
          <w:sz w:val="24"/>
          <w:szCs w:val="24"/>
        </w:rPr>
        <w:t>Příslušný dodatek je zveřejněn v registru smluv zde:</w:t>
      </w:r>
    </w:p>
    <w:p w:rsidR="00294AAD" w:rsidRPr="00B01330" w:rsidRDefault="00C606D9" w:rsidP="00B01330">
      <w:pPr>
        <w:pStyle w:val="Bezmezer"/>
        <w:jc w:val="both"/>
        <w:rPr>
          <w:rStyle w:val="Hypertextovodkaz"/>
          <w:rFonts w:ascii="Times New Roman" w:hAnsi="Times New Roman"/>
          <w:color w:val="0000FF"/>
        </w:rPr>
      </w:pPr>
      <w:hyperlink r:id="rId8" w:history="1">
        <w:r w:rsidR="00294AAD" w:rsidRPr="00B01330">
          <w:rPr>
            <w:rStyle w:val="Hypertextovodkaz"/>
            <w:rFonts w:ascii="Times New Roman" w:hAnsi="Times New Roman" w:cs="Times New Roman"/>
            <w:color w:val="0000FF"/>
            <w:sz w:val="24"/>
            <w:szCs w:val="24"/>
          </w:rPr>
          <w:t>https://smlouvy.gov.cz/smlouva/18084695</w:t>
        </w:r>
      </w:hyperlink>
    </w:p>
    <w:p w:rsidR="00294AAD" w:rsidRDefault="00294AAD" w:rsidP="004272E4">
      <w:pPr>
        <w:spacing w:after="0"/>
        <w:jc w:val="both"/>
        <w:rPr>
          <w:rFonts w:cs="Times New Roman"/>
          <w:sz w:val="24"/>
          <w:szCs w:val="24"/>
        </w:rPr>
      </w:pPr>
    </w:p>
    <w:p w:rsidR="004272E4" w:rsidRDefault="004272E4" w:rsidP="004272E4">
      <w:pPr>
        <w:spacing w:after="0"/>
        <w:jc w:val="both"/>
        <w:rPr>
          <w:rFonts w:cs="Times New Roman"/>
          <w:sz w:val="24"/>
          <w:szCs w:val="24"/>
        </w:rPr>
      </w:pPr>
    </w:p>
    <w:p w:rsidR="00294AAD" w:rsidRPr="002B3C53" w:rsidRDefault="00294AAD" w:rsidP="00294AAD">
      <w:pPr>
        <w:jc w:val="both"/>
        <w:rPr>
          <w:rFonts w:cs="Times New Roman"/>
          <w:sz w:val="24"/>
          <w:szCs w:val="24"/>
        </w:rPr>
      </w:pPr>
      <w:r w:rsidRPr="002B3C53">
        <w:rPr>
          <w:rFonts w:cs="Times New Roman"/>
          <w:sz w:val="24"/>
          <w:szCs w:val="24"/>
        </w:rPr>
        <w:t>Přehled všech změn oproti původně stanovené ceně díla ve výši 1.697.894.702,32 Kč bez DPH:</w:t>
      </w:r>
    </w:p>
    <w:p w:rsidR="007B5C22" w:rsidRPr="00283AD5" w:rsidRDefault="007B5C22" w:rsidP="00CD7FF6">
      <w:pPr>
        <w:spacing w:after="0"/>
        <w:rPr>
          <w:rFonts w:cs="Times New Roman"/>
          <w:sz w:val="16"/>
          <w:szCs w:val="16"/>
        </w:rPr>
      </w:pPr>
    </w:p>
    <w:p w:rsidR="00CD7FF6" w:rsidRPr="002B3C53" w:rsidRDefault="00CD7FF6" w:rsidP="00CD7FF6">
      <w:pPr>
        <w:spacing w:after="0"/>
        <w:rPr>
          <w:rFonts w:cs="Times New Roman"/>
          <w:sz w:val="24"/>
          <w:szCs w:val="24"/>
        </w:rPr>
      </w:pPr>
    </w:p>
    <w:tbl>
      <w:tblPr>
        <w:tblW w:w="10768" w:type="dxa"/>
        <w:jc w:val="center"/>
        <w:tblCellMar>
          <w:left w:w="70" w:type="dxa"/>
          <w:right w:w="70" w:type="dxa"/>
        </w:tblCellMar>
        <w:tblLook w:val="04A0" w:firstRow="1" w:lastRow="0" w:firstColumn="1" w:lastColumn="0" w:noHBand="0" w:noVBand="1"/>
      </w:tblPr>
      <w:tblGrid>
        <w:gridCol w:w="1243"/>
        <w:gridCol w:w="1539"/>
        <w:gridCol w:w="1756"/>
        <w:gridCol w:w="1716"/>
        <w:gridCol w:w="1756"/>
        <w:gridCol w:w="1045"/>
        <w:gridCol w:w="1713"/>
      </w:tblGrid>
      <w:tr w:rsidR="00294AAD" w:rsidRPr="002B3C53" w:rsidTr="003915D3">
        <w:trPr>
          <w:trHeight w:val="1029"/>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294AAD" w:rsidRPr="00CD7FF6" w:rsidRDefault="00294AAD" w:rsidP="00FE385A">
            <w:pPr>
              <w:spacing w:after="0"/>
              <w:jc w:val="center"/>
              <w:rPr>
                <w:rFonts w:eastAsia="Times New Roman" w:cs="Times New Roman"/>
                <w:b/>
                <w:bCs/>
                <w:sz w:val="18"/>
                <w:szCs w:val="18"/>
                <w:bdr w:val="none" w:sz="0" w:space="0" w:color="auto"/>
              </w:rPr>
            </w:pPr>
            <w:r w:rsidRPr="00CD7FF6">
              <w:rPr>
                <w:rFonts w:eastAsia="Times New Roman" w:cs="Times New Roman"/>
                <w:b/>
                <w:bCs/>
                <w:sz w:val="18"/>
                <w:szCs w:val="18"/>
                <w:bdr w:val="none" w:sz="0" w:space="0" w:color="auto"/>
              </w:rPr>
              <w:t>Navýšení ceny díla</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294AAD" w:rsidRPr="00CD7FF6" w:rsidRDefault="00294AAD" w:rsidP="00FE385A">
            <w:pPr>
              <w:spacing w:after="0"/>
              <w:jc w:val="center"/>
              <w:rPr>
                <w:rFonts w:eastAsia="Times New Roman" w:cs="Times New Roman"/>
                <w:b/>
                <w:bCs/>
                <w:sz w:val="18"/>
                <w:szCs w:val="18"/>
                <w:bdr w:val="none" w:sz="0" w:space="0" w:color="auto"/>
              </w:rPr>
            </w:pPr>
            <w:r w:rsidRPr="00CD7FF6">
              <w:rPr>
                <w:rFonts w:eastAsia="Times New Roman" w:cs="Times New Roman"/>
                <w:b/>
                <w:bCs/>
                <w:sz w:val="18"/>
                <w:szCs w:val="18"/>
                <w:bdr w:val="none" w:sz="0" w:space="0" w:color="auto"/>
              </w:rPr>
              <w:t>Celkové navýšení ceny díla</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294AAD" w:rsidRPr="00CD7FF6" w:rsidRDefault="00294AAD" w:rsidP="00FE385A">
            <w:pPr>
              <w:spacing w:after="0"/>
              <w:jc w:val="center"/>
              <w:rPr>
                <w:rFonts w:eastAsia="Times New Roman" w:cs="Times New Roman"/>
                <w:b/>
                <w:bCs/>
                <w:sz w:val="18"/>
                <w:szCs w:val="18"/>
                <w:bdr w:val="none" w:sz="0" w:space="0" w:color="auto"/>
              </w:rPr>
            </w:pPr>
            <w:r w:rsidRPr="00CD7FF6">
              <w:rPr>
                <w:rFonts w:eastAsia="Times New Roman" w:cs="Times New Roman"/>
                <w:b/>
                <w:bCs/>
                <w:sz w:val="18"/>
                <w:szCs w:val="18"/>
                <w:bdr w:val="none" w:sz="0" w:space="0" w:color="auto"/>
              </w:rPr>
              <w:t>Hodnota změny smlouvy</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294AAD" w:rsidRPr="00CD7FF6" w:rsidRDefault="00294AAD" w:rsidP="00FE385A">
            <w:pPr>
              <w:spacing w:after="0"/>
              <w:jc w:val="center"/>
              <w:rPr>
                <w:rFonts w:eastAsia="Times New Roman" w:cs="Times New Roman"/>
                <w:b/>
                <w:bCs/>
                <w:sz w:val="18"/>
                <w:szCs w:val="18"/>
                <w:bdr w:val="none" w:sz="0" w:space="0" w:color="auto"/>
              </w:rPr>
            </w:pPr>
            <w:r w:rsidRPr="00CD7FF6">
              <w:rPr>
                <w:rFonts w:eastAsia="Times New Roman" w:cs="Times New Roman"/>
                <w:b/>
                <w:bCs/>
                <w:sz w:val="18"/>
                <w:szCs w:val="18"/>
                <w:bdr w:val="none" w:sz="0" w:space="0" w:color="auto"/>
              </w:rPr>
              <w:t>Celková hodnota změny Smlouvy</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294AAD" w:rsidRPr="00CD7FF6" w:rsidRDefault="00294AAD" w:rsidP="00FE385A">
            <w:pPr>
              <w:spacing w:after="0"/>
              <w:jc w:val="center"/>
              <w:rPr>
                <w:rFonts w:eastAsia="Times New Roman" w:cs="Times New Roman"/>
                <w:b/>
                <w:bCs/>
                <w:sz w:val="18"/>
                <w:szCs w:val="18"/>
                <w:bdr w:val="none" w:sz="0" w:space="0" w:color="auto"/>
              </w:rPr>
            </w:pPr>
            <w:r w:rsidRPr="00CD7FF6">
              <w:rPr>
                <w:rFonts w:eastAsia="Times New Roman" w:cs="Times New Roman"/>
                <w:b/>
                <w:bCs/>
                <w:sz w:val="18"/>
                <w:szCs w:val="18"/>
                <w:bdr w:val="none" w:sz="0" w:space="0" w:color="auto"/>
              </w:rPr>
              <w:t>Celková hodnota změny Smlouvy</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294AAD" w:rsidRPr="00CD7FF6" w:rsidRDefault="00294AAD" w:rsidP="00FE385A">
            <w:pPr>
              <w:spacing w:after="0"/>
              <w:jc w:val="center"/>
              <w:rPr>
                <w:rFonts w:eastAsia="Times New Roman" w:cs="Times New Roman"/>
                <w:b/>
                <w:bCs/>
                <w:sz w:val="18"/>
                <w:szCs w:val="18"/>
                <w:bdr w:val="none" w:sz="0" w:space="0" w:color="auto"/>
              </w:rPr>
            </w:pPr>
            <w:r w:rsidRPr="00CD7FF6">
              <w:rPr>
                <w:rFonts w:eastAsia="Times New Roman" w:cs="Times New Roman"/>
                <w:b/>
                <w:bCs/>
                <w:sz w:val="18"/>
                <w:szCs w:val="18"/>
                <w:bdr w:val="none" w:sz="0" w:space="0" w:color="auto"/>
              </w:rPr>
              <w:t>Cena díla po uzavření dodatku</w:t>
            </w:r>
          </w:p>
        </w:tc>
      </w:tr>
      <w:tr w:rsidR="00294AAD" w:rsidRPr="002B3C53" w:rsidTr="003915D3">
        <w:trPr>
          <w:trHeight w:val="377"/>
          <w:jc w:val="center"/>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Dodatek č. 1</w:t>
            </w:r>
          </w:p>
        </w:tc>
        <w:tc>
          <w:tcPr>
            <w:tcW w:w="1539"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12 201 220,53 Kč</w:t>
            </w:r>
          </w:p>
        </w:tc>
        <w:tc>
          <w:tcPr>
            <w:tcW w:w="1756"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12 201 220,53 Kč</w:t>
            </w:r>
          </w:p>
        </w:tc>
        <w:tc>
          <w:tcPr>
            <w:tcW w:w="1716"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14 201 475,81 Kč</w:t>
            </w:r>
          </w:p>
        </w:tc>
        <w:tc>
          <w:tcPr>
            <w:tcW w:w="1756"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14 201 475,81 Kč</w:t>
            </w:r>
          </w:p>
        </w:tc>
        <w:tc>
          <w:tcPr>
            <w:tcW w:w="1045" w:type="dxa"/>
            <w:tcBorders>
              <w:top w:val="nil"/>
              <w:left w:val="nil"/>
              <w:bottom w:val="nil"/>
              <w:right w:val="nil"/>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0,84%</w:t>
            </w:r>
          </w:p>
        </w:tc>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1 710 095 922,85 Kč</w:t>
            </w:r>
          </w:p>
        </w:tc>
      </w:tr>
      <w:tr w:rsidR="00294AAD" w:rsidRPr="002B3C53" w:rsidTr="003915D3">
        <w:trPr>
          <w:trHeight w:val="410"/>
          <w:jc w:val="center"/>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Dodatek č. 2</w:t>
            </w:r>
          </w:p>
        </w:tc>
        <w:tc>
          <w:tcPr>
            <w:tcW w:w="1539"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18 585 924,69 Kč</w:t>
            </w:r>
          </w:p>
        </w:tc>
        <w:tc>
          <w:tcPr>
            <w:tcW w:w="1756"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30 787 145,22 Kč</w:t>
            </w:r>
          </w:p>
        </w:tc>
        <w:tc>
          <w:tcPr>
            <w:tcW w:w="1716"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33 751 358,95 Kč</w:t>
            </w:r>
          </w:p>
        </w:tc>
        <w:tc>
          <w:tcPr>
            <w:tcW w:w="1756"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47 952 834,76 Kč</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2,82%</w:t>
            </w:r>
          </w:p>
        </w:tc>
        <w:tc>
          <w:tcPr>
            <w:tcW w:w="1713" w:type="dxa"/>
            <w:tcBorders>
              <w:top w:val="nil"/>
              <w:left w:val="nil"/>
              <w:bottom w:val="single" w:sz="4" w:space="0" w:color="auto"/>
              <w:right w:val="single" w:sz="4" w:space="0" w:color="auto"/>
            </w:tcBorders>
            <w:shd w:val="clear" w:color="auto" w:fill="auto"/>
            <w:noWrap/>
            <w:vAlign w:val="center"/>
            <w:hideMark/>
          </w:tcPr>
          <w:p w:rsidR="00294AAD" w:rsidRPr="00FE385A" w:rsidRDefault="00294AAD" w:rsidP="00FE385A">
            <w:pPr>
              <w:spacing w:after="0"/>
              <w:jc w:val="center"/>
              <w:rPr>
                <w:rFonts w:eastAsia="Times New Roman" w:cs="Times New Roman"/>
                <w:bCs/>
                <w:sz w:val="18"/>
                <w:szCs w:val="18"/>
                <w:bdr w:val="none" w:sz="0" w:space="0" w:color="auto"/>
              </w:rPr>
            </w:pPr>
            <w:r w:rsidRPr="00FE385A">
              <w:rPr>
                <w:rFonts w:eastAsia="Times New Roman" w:cs="Times New Roman"/>
                <w:bCs/>
                <w:sz w:val="18"/>
                <w:szCs w:val="18"/>
                <w:bdr w:val="none" w:sz="0" w:space="0" w:color="auto"/>
              </w:rPr>
              <w:t>1 728 681 847,54 Kč</w:t>
            </w:r>
          </w:p>
        </w:tc>
      </w:tr>
    </w:tbl>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Servisní organizace:</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Se zástupci servisní organizace MHD SERVIS PLZEŇ probíhají pravidelná jednání a je projednávána organizace provozu během jednotlivých etap rekonstrukce. Servisní činnosti ve vztahu k vozidlům trakce ED, vyjma soustružení kol, probíhají nadále v</w:t>
      </w:r>
      <w:r w:rsidR="00CF08B2">
        <w:rPr>
          <w:rFonts w:ascii="Times New Roman" w:eastAsia="Times New Roman" w:hAnsi="Times New Roman" w:cs="Times New Roman"/>
          <w:sz w:val="24"/>
          <w:szCs w:val="24"/>
          <w:lang w:val="cs-CZ" w:eastAsia="cs-CZ"/>
        </w:rPr>
        <w:t xml:space="preserve"> </w:t>
      </w:r>
      <w:r w:rsidRPr="002B3C53">
        <w:rPr>
          <w:rFonts w:ascii="Times New Roman" w:eastAsia="Times New Roman" w:hAnsi="Times New Roman" w:cs="Times New Roman"/>
          <w:sz w:val="24"/>
          <w:szCs w:val="24"/>
          <w:lang w:val="cs-CZ" w:eastAsia="cs-CZ"/>
        </w:rPr>
        <w:t>areálu vozovny a vícenáklady servisní organizace</w:t>
      </w:r>
      <w:r w:rsidR="00C017A9">
        <w:rPr>
          <w:rFonts w:ascii="Times New Roman" w:eastAsia="Times New Roman" w:hAnsi="Times New Roman" w:cs="Times New Roman"/>
          <w:sz w:val="24"/>
          <w:szCs w:val="24"/>
          <w:lang w:val="cs-CZ" w:eastAsia="cs-CZ"/>
        </w:rPr>
        <w:t>,</w:t>
      </w:r>
      <w:r w:rsidRPr="002B3C53">
        <w:rPr>
          <w:rFonts w:ascii="Times New Roman" w:eastAsia="Times New Roman" w:hAnsi="Times New Roman" w:cs="Times New Roman"/>
          <w:sz w:val="24"/>
          <w:szCs w:val="24"/>
          <w:lang w:val="cs-CZ" w:eastAsia="cs-CZ"/>
        </w:rPr>
        <w:t xml:space="preserve"> jsou řešeny v</w:t>
      </w:r>
      <w:r w:rsidR="00CF08B2">
        <w:rPr>
          <w:rFonts w:ascii="Times New Roman" w:eastAsia="Times New Roman" w:hAnsi="Times New Roman" w:cs="Times New Roman"/>
          <w:sz w:val="24"/>
          <w:szCs w:val="24"/>
          <w:lang w:val="cs-CZ" w:eastAsia="cs-CZ"/>
        </w:rPr>
        <w:t xml:space="preserve"> </w:t>
      </w:r>
      <w:r w:rsidRPr="002B3C53">
        <w:rPr>
          <w:rFonts w:ascii="Times New Roman" w:eastAsia="Times New Roman" w:hAnsi="Times New Roman" w:cs="Times New Roman"/>
          <w:sz w:val="24"/>
          <w:szCs w:val="24"/>
          <w:lang w:val="cs-CZ" w:eastAsia="cs-CZ"/>
        </w:rPr>
        <w:t>režimu tzv. Kompenzované události, jak tuto předjímá Projektová smlouva k PPP projektu.</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Za celé období rekonstrukce bylo servisní organizaci ke dni zpracování této zprávy vyplaceno celkem 1.508.171,- Kč v režimu tzv. Kompenzované události podle Projektové smlouvy. Veškeré požadavky na úhradu vícenákladů byly posouzeny pracovní skupinou k tomuto účelu zřízenou a byly shledány jako oprávněné v přímé souvislosti s prováděním rekonstrukce vozovny Slovany a s tím souvisejícím omezením provozu areálu Slovany, který má servisní organizace v nájmu a nájemné hradí stále v plné výši.</w:t>
      </w:r>
    </w:p>
    <w:p w:rsidR="004272E4" w:rsidRDefault="004272E4" w:rsidP="00294AAD">
      <w:pPr>
        <w:pStyle w:val="Bezmezer"/>
        <w:jc w:val="both"/>
        <w:rPr>
          <w:rFonts w:ascii="Times New Roman" w:eastAsia="Times New Roman" w:hAnsi="Times New Roman" w:cs="Times New Roman"/>
          <w:sz w:val="24"/>
          <w:szCs w:val="24"/>
          <w:lang w:val="cs-CZ" w:eastAsia="cs-CZ"/>
        </w:rPr>
      </w:pPr>
    </w:p>
    <w:p w:rsidR="004272E4" w:rsidRPr="002B3C53" w:rsidRDefault="004272E4"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Ostatní:</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Od zhotovitele jsme obdrželi dva informativní dopisy, ve kterých nás zhotovitel upozorňuje na navyšování nákladů v</w:t>
      </w:r>
      <w:r w:rsidR="004272E4">
        <w:rPr>
          <w:rFonts w:ascii="Times New Roman" w:eastAsia="Times New Roman" w:hAnsi="Times New Roman" w:cs="Times New Roman"/>
          <w:sz w:val="24"/>
          <w:szCs w:val="24"/>
          <w:lang w:val="cs-CZ" w:eastAsia="cs-CZ"/>
        </w:rPr>
        <w:t xml:space="preserve"> </w:t>
      </w:r>
      <w:r w:rsidRPr="002B3C53">
        <w:rPr>
          <w:rFonts w:ascii="Times New Roman" w:eastAsia="Times New Roman" w:hAnsi="Times New Roman" w:cs="Times New Roman"/>
          <w:sz w:val="24"/>
          <w:szCs w:val="24"/>
          <w:lang w:val="cs-CZ" w:eastAsia="cs-CZ"/>
        </w:rPr>
        <w:t>souvislosti s</w:t>
      </w:r>
      <w:r w:rsidR="004272E4">
        <w:rPr>
          <w:rFonts w:ascii="Times New Roman" w:eastAsia="Times New Roman" w:hAnsi="Times New Roman" w:cs="Times New Roman"/>
          <w:sz w:val="24"/>
          <w:szCs w:val="24"/>
          <w:lang w:val="cs-CZ" w:eastAsia="cs-CZ"/>
        </w:rPr>
        <w:t xml:space="preserve"> </w:t>
      </w:r>
      <w:r w:rsidRPr="002B3C53">
        <w:rPr>
          <w:rFonts w:ascii="Times New Roman" w:eastAsia="Times New Roman" w:hAnsi="Times New Roman" w:cs="Times New Roman"/>
          <w:sz w:val="24"/>
          <w:szCs w:val="24"/>
          <w:lang w:val="cs-CZ" w:eastAsia="cs-CZ"/>
        </w:rPr>
        <w:t>pandemií virového onemocnění Covid-19 a růstu cen materiálu. Případná diskuze ohledně oprávněnosti požadavku na navýšení ceny díla bude teprve probíhat, aktuální postoj PMDP, a.s. k požadavku zhotovitele je odmítavý.</w:t>
      </w:r>
    </w:p>
    <w:p w:rsidR="00294AAD" w:rsidRDefault="00294AAD" w:rsidP="00294AAD">
      <w:pPr>
        <w:pStyle w:val="Bezmezer"/>
        <w:jc w:val="both"/>
        <w:rPr>
          <w:rFonts w:ascii="Times New Roman" w:eastAsia="Times New Roman" w:hAnsi="Times New Roman" w:cs="Times New Roman"/>
          <w:sz w:val="24"/>
          <w:szCs w:val="24"/>
          <w:lang w:val="cs-CZ" w:eastAsia="cs-CZ"/>
        </w:rPr>
      </w:pPr>
    </w:p>
    <w:p w:rsidR="00C606D9" w:rsidRPr="002B3C53" w:rsidRDefault="00C606D9" w:rsidP="00294AAD">
      <w:pPr>
        <w:pStyle w:val="Bezmezer"/>
        <w:jc w:val="both"/>
        <w:rPr>
          <w:rFonts w:ascii="Times New Roman" w:eastAsia="Times New Roman" w:hAnsi="Times New Roman" w:cs="Times New Roman"/>
          <w:sz w:val="24"/>
          <w:szCs w:val="24"/>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r w:rsidRPr="002B3C53">
        <w:rPr>
          <w:rFonts w:ascii="Times New Roman" w:eastAsia="Times New Roman" w:hAnsi="Times New Roman" w:cs="Times New Roman"/>
          <w:sz w:val="24"/>
          <w:szCs w:val="24"/>
          <w:u w:val="single"/>
          <w:lang w:val="cs-CZ" w:eastAsia="cs-CZ"/>
        </w:rPr>
        <w:t>Závěr:</w:t>
      </w:r>
    </w:p>
    <w:p w:rsidR="00294AAD" w:rsidRPr="002B3C53" w:rsidRDefault="00294AAD" w:rsidP="00294AAD">
      <w:pPr>
        <w:pStyle w:val="Bezmezer"/>
        <w:jc w:val="both"/>
        <w:rPr>
          <w:rFonts w:ascii="Times New Roman" w:eastAsia="Times New Roman" w:hAnsi="Times New Roman" w:cs="Times New Roman"/>
          <w:sz w:val="24"/>
          <w:szCs w:val="24"/>
          <w:u w:val="single"/>
          <w:lang w:val="cs-CZ" w:eastAsia="cs-CZ"/>
        </w:rPr>
      </w:pP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r w:rsidRPr="002B3C53">
        <w:rPr>
          <w:rFonts w:ascii="Times New Roman" w:eastAsia="Times New Roman" w:hAnsi="Times New Roman" w:cs="Times New Roman"/>
          <w:sz w:val="24"/>
          <w:szCs w:val="24"/>
          <w:lang w:val="cs-CZ" w:eastAsia="cs-CZ"/>
        </w:rPr>
        <w:t>Celá stavba zatím probíhá bez závažnějších problémů, v</w:t>
      </w:r>
      <w:r w:rsidR="004272E4">
        <w:rPr>
          <w:rFonts w:ascii="Times New Roman" w:eastAsia="Times New Roman" w:hAnsi="Times New Roman" w:cs="Times New Roman"/>
          <w:sz w:val="24"/>
          <w:szCs w:val="24"/>
          <w:lang w:val="cs-CZ" w:eastAsia="cs-CZ"/>
        </w:rPr>
        <w:t xml:space="preserve"> </w:t>
      </w:r>
      <w:r w:rsidRPr="002B3C53">
        <w:rPr>
          <w:rFonts w:ascii="Times New Roman" w:eastAsia="Times New Roman" w:hAnsi="Times New Roman" w:cs="Times New Roman"/>
          <w:sz w:val="24"/>
          <w:szCs w:val="24"/>
          <w:lang w:val="cs-CZ" w:eastAsia="cs-CZ"/>
        </w:rPr>
        <w:t>souladu s</w:t>
      </w:r>
      <w:r w:rsidR="004272E4">
        <w:rPr>
          <w:rFonts w:ascii="Times New Roman" w:eastAsia="Times New Roman" w:hAnsi="Times New Roman" w:cs="Times New Roman"/>
          <w:sz w:val="24"/>
          <w:szCs w:val="24"/>
          <w:lang w:val="cs-CZ" w:eastAsia="cs-CZ"/>
        </w:rPr>
        <w:t xml:space="preserve"> </w:t>
      </w:r>
      <w:r w:rsidRPr="002B3C53">
        <w:rPr>
          <w:rFonts w:ascii="Times New Roman" w:eastAsia="Times New Roman" w:hAnsi="Times New Roman" w:cs="Times New Roman"/>
          <w:sz w:val="24"/>
          <w:szCs w:val="24"/>
          <w:lang w:val="cs-CZ" w:eastAsia="cs-CZ"/>
        </w:rPr>
        <w:t>aktualizovaným harmonogramem stavby.</w:t>
      </w:r>
    </w:p>
    <w:p w:rsidR="00294AAD" w:rsidRPr="002B3C53" w:rsidRDefault="00294AAD" w:rsidP="00294AAD">
      <w:pPr>
        <w:pStyle w:val="Bezmezer"/>
        <w:jc w:val="both"/>
        <w:rPr>
          <w:rFonts w:ascii="Times New Roman" w:eastAsia="Times New Roman" w:hAnsi="Times New Roman" w:cs="Times New Roman"/>
          <w:sz w:val="24"/>
          <w:szCs w:val="24"/>
          <w:lang w:val="cs-CZ" w:eastAsia="cs-CZ"/>
        </w:rPr>
      </w:pPr>
    </w:p>
    <w:p w:rsidR="00B50568" w:rsidRPr="002B3C53" w:rsidRDefault="00294AAD" w:rsidP="002B3C53">
      <w:pPr>
        <w:jc w:val="both"/>
        <w:rPr>
          <w:rFonts w:eastAsia="Times New Roman" w:cs="Times New Roman"/>
          <w:sz w:val="24"/>
          <w:szCs w:val="24"/>
        </w:rPr>
      </w:pPr>
      <w:r w:rsidRPr="002B3C53">
        <w:rPr>
          <w:rFonts w:eastAsia="Times New Roman" w:cs="Times New Roman"/>
          <w:sz w:val="24"/>
          <w:szCs w:val="24"/>
        </w:rPr>
        <w:t>Pravidelně probíhají i osobní setkání zástupců vedení všech společností zúčastněných na projektu Rekonstrukce vozovny Slovany tak</w:t>
      </w:r>
      <w:r w:rsidR="008058A4">
        <w:rPr>
          <w:rFonts w:eastAsia="Times New Roman" w:cs="Times New Roman"/>
          <w:sz w:val="24"/>
          <w:szCs w:val="24"/>
        </w:rPr>
        <w:t xml:space="preserve">, </w:t>
      </w:r>
      <w:r w:rsidRPr="002B3C53">
        <w:rPr>
          <w:rFonts w:eastAsia="Times New Roman" w:cs="Times New Roman"/>
          <w:sz w:val="24"/>
          <w:szCs w:val="24"/>
        </w:rPr>
        <w:t>aby bylo zamezeno či maximálně eliminováno riziko vzniku jakýchkoliv sporných situací, které by mohly mít zejména negativní dopad na termín realizace a dokončení díla.</w:t>
      </w:r>
    </w:p>
    <w:p w:rsidR="00B50568" w:rsidRPr="002B3C53" w:rsidRDefault="00B50568" w:rsidP="00B50568">
      <w:pPr>
        <w:pStyle w:val="Bezmezer"/>
        <w:jc w:val="both"/>
        <w:rPr>
          <w:rFonts w:ascii="Times New Roman" w:eastAsia="Times New Roman" w:hAnsi="Times New Roman" w:cs="Times New Roman"/>
          <w:sz w:val="24"/>
          <w:szCs w:val="24"/>
          <w:lang w:val="cs-CZ" w:eastAsia="cs-CZ"/>
        </w:rPr>
      </w:pPr>
    </w:p>
    <w:p w:rsidR="007345B5" w:rsidRDefault="007345B5">
      <w:pPr>
        <w:spacing w:line="280" w:lineRule="exact"/>
        <w:jc w:val="both"/>
        <w:rPr>
          <w:rFonts w:cs="Times New Roman"/>
          <w:sz w:val="24"/>
          <w:szCs w:val="24"/>
        </w:rPr>
      </w:pPr>
    </w:p>
    <w:p w:rsidR="00197C56" w:rsidRDefault="00197C56">
      <w:pPr>
        <w:spacing w:line="280" w:lineRule="exact"/>
        <w:jc w:val="both"/>
        <w:rPr>
          <w:rFonts w:cs="Times New Roman"/>
          <w:sz w:val="24"/>
          <w:szCs w:val="24"/>
        </w:rPr>
      </w:pPr>
      <w:bookmarkStart w:id="0" w:name="_GoBack"/>
      <w:bookmarkEnd w:id="0"/>
    </w:p>
    <w:p w:rsidR="00197C56" w:rsidRDefault="00197C56">
      <w:pPr>
        <w:spacing w:line="280" w:lineRule="exact"/>
        <w:jc w:val="both"/>
        <w:rPr>
          <w:rFonts w:cs="Times New Roman"/>
          <w:sz w:val="24"/>
          <w:szCs w:val="24"/>
        </w:rPr>
      </w:pPr>
    </w:p>
    <w:p w:rsidR="00197C56" w:rsidRDefault="00197C56">
      <w:pPr>
        <w:spacing w:line="280" w:lineRule="exact"/>
        <w:jc w:val="both"/>
        <w:rPr>
          <w:rFonts w:cs="Times New Roman"/>
          <w:sz w:val="24"/>
          <w:szCs w:val="24"/>
        </w:rPr>
      </w:pPr>
    </w:p>
    <w:p w:rsidR="00197C56" w:rsidRDefault="00197C56">
      <w:pPr>
        <w:spacing w:line="280" w:lineRule="exact"/>
        <w:jc w:val="both"/>
        <w:rPr>
          <w:rFonts w:cs="Times New Roman"/>
          <w:sz w:val="24"/>
          <w:szCs w:val="24"/>
        </w:rPr>
      </w:pPr>
    </w:p>
    <w:p w:rsidR="00197C56" w:rsidRDefault="00197C56">
      <w:pPr>
        <w:spacing w:line="280" w:lineRule="exact"/>
        <w:jc w:val="both"/>
        <w:rPr>
          <w:rFonts w:cs="Times New Roman"/>
          <w:sz w:val="24"/>
          <w:szCs w:val="24"/>
        </w:rPr>
      </w:pPr>
    </w:p>
    <w:p w:rsidR="00197C56" w:rsidRDefault="00197C56">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CD7FF6" w:rsidRDefault="00CD7FF6">
      <w:pPr>
        <w:spacing w:line="280" w:lineRule="exact"/>
        <w:jc w:val="both"/>
        <w:rPr>
          <w:rFonts w:cs="Times New Roman"/>
          <w:sz w:val="24"/>
          <w:szCs w:val="24"/>
        </w:rPr>
      </w:pPr>
    </w:p>
    <w:p w:rsidR="00CD7FF6" w:rsidRDefault="00CD7FF6">
      <w:pPr>
        <w:spacing w:line="280" w:lineRule="exact"/>
        <w:jc w:val="both"/>
        <w:rPr>
          <w:rFonts w:cs="Times New Roman"/>
          <w:sz w:val="24"/>
          <w:szCs w:val="24"/>
        </w:rPr>
      </w:pPr>
    </w:p>
    <w:p w:rsidR="00CD7FF6" w:rsidRDefault="00CD7FF6">
      <w:pPr>
        <w:spacing w:line="280" w:lineRule="exact"/>
        <w:jc w:val="both"/>
        <w:rPr>
          <w:rFonts w:cs="Times New Roman"/>
          <w:sz w:val="24"/>
          <w:szCs w:val="24"/>
        </w:rPr>
      </w:pPr>
    </w:p>
    <w:p w:rsidR="00CD7FF6" w:rsidRDefault="00CD7FF6">
      <w:pPr>
        <w:spacing w:line="280" w:lineRule="exact"/>
        <w:jc w:val="both"/>
        <w:rPr>
          <w:rFonts w:cs="Times New Roman"/>
          <w:sz w:val="24"/>
          <w:szCs w:val="24"/>
        </w:rPr>
      </w:pPr>
    </w:p>
    <w:p w:rsidR="004272E4" w:rsidRDefault="004272E4">
      <w:pPr>
        <w:spacing w:line="280" w:lineRule="exact"/>
        <w:jc w:val="both"/>
        <w:rPr>
          <w:rFonts w:cs="Times New Roman"/>
          <w:sz w:val="24"/>
          <w:szCs w:val="24"/>
        </w:rPr>
      </w:pPr>
    </w:p>
    <w:p w:rsidR="00CD7FF6" w:rsidRDefault="00CD7FF6">
      <w:pPr>
        <w:spacing w:line="280" w:lineRule="exact"/>
        <w:jc w:val="both"/>
        <w:rPr>
          <w:rFonts w:cs="Times New Roman"/>
          <w:sz w:val="24"/>
          <w:szCs w:val="24"/>
        </w:rPr>
      </w:pPr>
    </w:p>
    <w:p w:rsidR="00197C56" w:rsidRPr="002B3C53" w:rsidRDefault="00197C56">
      <w:pPr>
        <w:spacing w:line="280" w:lineRule="exact"/>
        <w:jc w:val="both"/>
        <w:rPr>
          <w:rFonts w:cs="Times New Roman"/>
          <w:sz w:val="24"/>
          <w:szCs w:val="24"/>
        </w:rPr>
      </w:pPr>
    </w:p>
    <w:p w:rsidR="003A671D" w:rsidRPr="002B3C53" w:rsidRDefault="009F6A92">
      <w:pPr>
        <w:spacing w:line="280" w:lineRule="exact"/>
        <w:jc w:val="both"/>
        <w:rPr>
          <w:rFonts w:cs="Times New Roman"/>
          <w:sz w:val="24"/>
          <w:szCs w:val="24"/>
          <w:lang w:val="de-DE"/>
        </w:rPr>
      </w:pPr>
      <w:r w:rsidRPr="002B3C53">
        <w:rPr>
          <w:rFonts w:cs="Times New Roman"/>
          <w:sz w:val="24"/>
          <w:szCs w:val="24"/>
        </w:rPr>
        <w:t>Zprávu předkládá</w:t>
      </w:r>
      <w:r w:rsidRPr="002B3C53">
        <w:rPr>
          <w:rFonts w:cs="Times New Roman"/>
          <w:sz w:val="24"/>
          <w:szCs w:val="24"/>
          <w:lang w:val="de-DE"/>
        </w:rPr>
        <w:t>:</w:t>
      </w:r>
      <w:r w:rsidRPr="002B3C53">
        <w:rPr>
          <w:rFonts w:cs="Times New Roman"/>
          <w:sz w:val="24"/>
          <w:szCs w:val="24"/>
          <w:lang w:val="de-DE"/>
        </w:rPr>
        <w:tab/>
      </w:r>
      <w:r w:rsidR="003A671D" w:rsidRPr="002B3C53">
        <w:rPr>
          <w:rFonts w:cs="Times New Roman"/>
          <w:sz w:val="24"/>
          <w:szCs w:val="24"/>
          <w:lang w:val="de-DE"/>
        </w:rPr>
        <w:t>Mgr. Michal Vozobule, náměst</w:t>
      </w:r>
      <w:r w:rsidR="00D4048D" w:rsidRPr="002B3C53">
        <w:rPr>
          <w:rFonts w:cs="Times New Roman"/>
          <w:sz w:val="24"/>
          <w:szCs w:val="24"/>
          <w:lang w:val="de-DE"/>
        </w:rPr>
        <w:t xml:space="preserve">ek </w:t>
      </w:r>
      <w:r w:rsidR="003A671D" w:rsidRPr="002B3C53">
        <w:rPr>
          <w:rFonts w:cs="Times New Roman"/>
          <w:sz w:val="24"/>
          <w:szCs w:val="24"/>
          <w:lang w:val="de-DE"/>
        </w:rPr>
        <w:t>primátora</w:t>
      </w:r>
    </w:p>
    <w:p w:rsidR="007345B5" w:rsidRPr="002B3C53" w:rsidRDefault="009F6A92">
      <w:pPr>
        <w:spacing w:line="280" w:lineRule="exact"/>
        <w:jc w:val="both"/>
        <w:rPr>
          <w:rFonts w:cs="Times New Roman"/>
          <w:sz w:val="24"/>
          <w:szCs w:val="24"/>
        </w:rPr>
      </w:pPr>
      <w:r w:rsidRPr="002B3C53">
        <w:rPr>
          <w:rFonts w:cs="Times New Roman"/>
          <w:sz w:val="24"/>
          <w:szCs w:val="24"/>
        </w:rPr>
        <w:t>Zprávu zpracoval</w:t>
      </w:r>
      <w:r w:rsidR="002423FF" w:rsidRPr="002B3C53">
        <w:rPr>
          <w:rFonts w:cs="Times New Roman"/>
          <w:sz w:val="24"/>
          <w:szCs w:val="24"/>
        </w:rPr>
        <w:t>a</w:t>
      </w:r>
      <w:r w:rsidRPr="002B3C53">
        <w:rPr>
          <w:rFonts w:cs="Times New Roman"/>
          <w:sz w:val="24"/>
          <w:szCs w:val="24"/>
        </w:rPr>
        <w:t>:</w:t>
      </w:r>
      <w:r w:rsidRPr="002B3C53">
        <w:rPr>
          <w:rFonts w:cs="Times New Roman"/>
          <w:sz w:val="24"/>
          <w:szCs w:val="24"/>
        </w:rPr>
        <w:tab/>
      </w:r>
      <w:r w:rsidR="00D4048D" w:rsidRPr="002B3C53">
        <w:rPr>
          <w:rFonts w:cs="Times New Roman"/>
          <w:sz w:val="24"/>
          <w:szCs w:val="24"/>
        </w:rPr>
        <w:t>Mgr. Petra Šindelářová,</w:t>
      </w:r>
      <w:r w:rsidR="004272E4">
        <w:rPr>
          <w:rFonts w:cs="Times New Roman"/>
          <w:sz w:val="24"/>
          <w:szCs w:val="24"/>
        </w:rPr>
        <w:t xml:space="preserve"> v</w:t>
      </w:r>
      <w:r w:rsidR="00D4048D" w:rsidRPr="002B3C53">
        <w:rPr>
          <w:rFonts w:cs="Times New Roman"/>
          <w:sz w:val="24"/>
          <w:szCs w:val="24"/>
        </w:rPr>
        <w:t>edoucí právního oddělení</w:t>
      </w:r>
      <w:r w:rsidR="004272E4">
        <w:rPr>
          <w:rFonts w:cs="Times New Roman"/>
          <w:sz w:val="24"/>
          <w:szCs w:val="24"/>
        </w:rPr>
        <w:t xml:space="preserve"> PMDP, a.s.</w:t>
      </w:r>
    </w:p>
    <w:sectPr w:rsidR="007345B5" w:rsidRPr="002B3C53" w:rsidSect="00DA4C1F">
      <w:footerReference w:type="default" r:id="rId9"/>
      <w:pgSz w:w="11900" w:h="16840"/>
      <w:pgMar w:top="1135" w:right="1268" w:bottom="851"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4A" w:rsidRDefault="009F6A92">
      <w:pPr>
        <w:spacing w:after="0"/>
      </w:pPr>
      <w:r>
        <w:separator/>
      </w:r>
    </w:p>
  </w:endnote>
  <w:endnote w:type="continuationSeparator" w:id="0">
    <w:p w:rsidR="00F8434A" w:rsidRDefault="009F6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1718"/>
      <w:docPartObj>
        <w:docPartGallery w:val="Page Numbers (Bottom of Page)"/>
        <w:docPartUnique/>
      </w:docPartObj>
    </w:sdtPr>
    <w:sdtEndPr/>
    <w:sdtContent>
      <w:p w:rsidR="00197C56" w:rsidRDefault="00197C56">
        <w:pPr>
          <w:pStyle w:val="Zpat"/>
          <w:jc w:val="center"/>
        </w:pPr>
        <w:r>
          <w:fldChar w:fldCharType="begin"/>
        </w:r>
        <w:r>
          <w:instrText>PAGE   \* MERGEFORMAT</w:instrText>
        </w:r>
        <w:r>
          <w:fldChar w:fldCharType="separate"/>
        </w:r>
        <w:r>
          <w:t>2</w:t>
        </w:r>
        <w:r>
          <w:fldChar w:fldCharType="end"/>
        </w:r>
      </w:p>
    </w:sdtContent>
  </w:sdt>
  <w:p w:rsidR="007345B5" w:rsidRDefault="007345B5">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4A" w:rsidRDefault="009F6A92">
      <w:pPr>
        <w:spacing w:after="0"/>
      </w:pPr>
      <w:r>
        <w:separator/>
      </w:r>
    </w:p>
  </w:footnote>
  <w:footnote w:type="continuationSeparator" w:id="0">
    <w:p w:rsidR="00F8434A" w:rsidRDefault="009F6A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7119"/>
    <w:multiLevelType w:val="hybridMultilevel"/>
    <w:tmpl w:val="4FACF014"/>
    <w:numStyleLink w:val="Importovanstyl1"/>
  </w:abstractNum>
  <w:abstractNum w:abstractNumId="1" w15:restartNumberingAfterBreak="0">
    <w:nsid w:val="5A1055C7"/>
    <w:multiLevelType w:val="singleLevel"/>
    <w:tmpl w:val="04050013"/>
    <w:lvl w:ilvl="0">
      <w:start w:val="2"/>
      <w:numFmt w:val="upperRoman"/>
      <w:lvlText w:val="%1."/>
      <w:lvlJc w:val="left"/>
      <w:pPr>
        <w:tabs>
          <w:tab w:val="num" w:pos="720"/>
        </w:tabs>
        <w:ind w:left="720" w:hanging="720"/>
      </w:pPr>
      <w:rPr>
        <w:rFonts w:hint="default"/>
      </w:rPr>
    </w:lvl>
  </w:abstractNum>
  <w:abstractNum w:abstractNumId="2" w15:restartNumberingAfterBreak="0">
    <w:nsid w:val="6FA60CC6"/>
    <w:multiLevelType w:val="hybridMultilevel"/>
    <w:tmpl w:val="4FACF014"/>
    <w:styleLink w:val="Importovanstyl1"/>
    <w:lvl w:ilvl="0" w:tplc="EB9AFF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68B08">
      <w:start w:val="1"/>
      <w:numFmt w:val="bullet"/>
      <w:lvlText w:val="o"/>
      <w:lvlJc w:val="left"/>
      <w:pPr>
        <w:ind w:left="14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160E4E">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0F35C">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8057E">
      <w:start w:val="1"/>
      <w:numFmt w:val="bullet"/>
      <w:lvlText w:val="o"/>
      <w:lvlJc w:val="left"/>
      <w:pPr>
        <w:ind w:left="363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2A0B6">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841A4C">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0960A">
      <w:start w:val="1"/>
      <w:numFmt w:val="bullet"/>
      <w:lvlText w:val="o"/>
      <w:lvlJc w:val="left"/>
      <w:pPr>
        <w:ind w:left="57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A5A8C">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B5"/>
    <w:rsid w:val="000B5DEE"/>
    <w:rsid w:val="000D09BB"/>
    <w:rsid w:val="000E05A6"/>
    <w:rsid w:val="000F2545"/>
    <w:rsid w:val="0013158E"/>
    <w:rsid w:val="00197C56"/>
    <w:rsid w:val="001E0B97"/>
    <w:rsid w:val="00202F29"/>
    <w:rsid w:val="002423FF"/>
    <w:rsid w:val="00283AD5"/>
    <w:rsid w:val="00294AAD"/>
    <w:rsid w:val="002B3C53"/>
    <w:rsid w:val="002F7CF6"/>
    <w:rsid w:val="00376E4D"/>
    <w:rsid w:val="003915D3"/>
    <w:rsid w:val="003A450D"/>
    <w:rsid w:val="003A671D"/>
    <w:rsid w:val="004272E4"/>
    <w:rsid w:val="004A1741"/>
    <w:rsid w:val="004A4AB1"/>
    <w:rsid w:val="0053236D"/>
    <w:rsid w:val="0057413C"/>
    <w:rsid w:val="0058455D"/>
    <w:rsid w:val="005D228C"/>
    <w:rsid w:val="006155A4"/>
    <w:rsid w:val="00623F23"/>
    <w:rsid w:val="00625CD3"/>
    <w:rsid w:val="00664258"/>
    <w:rsid w:val="006754AD"/>
    <w:rsid w:val="007345B5"/>
    <w:rsid w:val="00761E92"/>
    <w:rsid w:val="007B5C22"/>
    <w:rsid w:val="007C5F78"/>
    <w:rsid w:val="008058A4"/>
    <w:rsid w:val="00954066"/>
    <w:rsid w:val="00957A1D"/>
    <w:rsid w:val="009D536D"/>
    <w:rsid w:val="009F6A92"/>
    <w:rsid w:val="00A00B79"/>
    <w:rsid w:val="00A72566"/>
    <w:rsid w:val="00B01330"/>
    <w:rsid w:val="00B50568"/>
    <w:rsid w:val="00C017A9"/>
    <w:rsid w:val="00C606D9"/>
    <w:rsid w:val="00C87233"/>
    <w:rsid w:val="00CB3E1B"/>
    <w:rsid w:val="00CD7FF6"/>
    <w:rsid w:val="00CF08B2"/>
    <w:rsid w:val="00D4048D"/>
    <w:rsid w:val="00D9045E"/>
    <w:rsid w:val="00DA4C1F"/>
    <w:rsid w:val="00E47A30"/>
    <w:rsid w:val="00EF5D7D"/>
    <w:rsid w:val="00F8434A"/>
    <w:rsid w:val="00FA049C"/>
    <w:rsid w:val="00FE3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882C"/>
  <w15:docId w15:val="{30178E3E-5F8C-409A-B2AB-95825CF7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after="120"/>
    </w:pPr>
    <w:rPr>
      <w:rFonts w:cs="Arial Unicode MS"/>
      <w:color w:val="000000"/>
      <w:u w:color="000000"/>
    </w:rPr>
  </w:style>
  <w:style w:type="paragraph" w:styleId="Nadpis1">
    <w:name w:val="heading 1"/>
    <w:next w:val="Normln"/>
    <w:pPr>
      <w:keepNext/>
      <w:spacing w:before="240" w:after="60"/>
      <w:outlineLvl w:val="0"/>
    </w:pPr>
    <w:rPr>
      <w:rFonts w:ascii="Arial" w:hAnsi="Arial" w:cs="Arial Unicode MS"/>
      <w:b/>
      <w:bCs/>
      <w:color w:val="000000"/>
      <w:kern w:val="28"/>
      <w:sz w:val="28"/>
      <w:szCs w:val="28"/>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ntext">
    <w:name w:val="Standardní text"/>
    <w:pPr>
      <w:jc w:val="both"/>
    </w:pPr>
    <w:rPr>
      <w:rFonts w:cs="Arial Unicode MS"/>
      <w:color w:val="000000"/>
      <w:sz w:val="24"/>
      <w:szCs w:val="24"/>
      <w:u w:color="000000"/>
    </w:rPr>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ovanstyl1">
    <w:name w:val="Importovaný styl 1"/>
    <w:pPr>
      <w:numPr>
        <w:numId w:val="1"/>
      </w:numPr>
    </w:pPr>
  </w:style>
  <w:style w:type="paragraph" w:styleId="Zkladntext">
    <w:name w:val="Body Text"/>
    <w:basedOn w:val="Normln"/>
    <w:link w:val="ZkladntextChar"/>
    <w:rsid w:val="00B50568"/>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Arial" w:eastAsia="Times New Roman" w:hAnsi="Arial" w:cs="Times New Roman"/>
      <w:color w:val="auto"/>
      <w:sz w:val="24"/>
      <w:bdr w:val="none" w:sz="0" w:space="0" w:color="auto"/>
    </w:rPr>
  </w:style>
  <w:style w:type="character" w:customStyle="1" w:styleId="ZkladntextChar">
    <w:name w:val="Základní text Char"/>
    <w:basedOn w:val="Standardnpsmoodstavce"/>
    <w:link w:val="Zkladntext"/>
    <w:rsid w:val="00B50568"/>
    <w:rPr>
      <w:rFonts w:ascii="Arial" w:eastAsia="Times New Roman" w:hAnsi="Arial"/>
      <w:sz w:val="24"/>
      <w:bdr w:val="none" w:sz="0" w:space="0" w:color="auto"/>
    </w:rPr>
  </w:style>
  <w:style w:type="paragraph" w:styleId="Nzev">
    <w:name w:val="Title"/>
    <w:basedOn w:val="Normln"/>
    <w:link w:val="NzevChar"/>
    <w:qFormat/>
    <w:rsid w:val="00B50568"/>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rFonts w:eastAsia="Times New Roman" w:cs="Times New Roman"/>
      <w:color w:val="auto"/>
      <w:sz w:val="24"/>
      <w:bdr w:val="none" w:sz="0" w:space="0" w:color="auto"/>
    </w:rPr>
  </w:style>
  <w:style w:type="character" w:customStyle="1" w:styleId="NzevChar">
    <w:name w:val="Název Char"/>
    <w:basedOn w:val="Standardnpsmoodstavce"/>
    <w:link w:val="Nzev"/>
    <w:rsid w:val="00B50568"/>
    <w:rPr>
      <w:rFonts w:eastAsia="Times New Roman"/>
      <w:sz w:val="24"/>
      <w:bdr w:val="none" w:sz="0" w:space="0" w:color="auto"/>
    </w:rPr>
  </w:style>
  <w:style w:type="paragraph" w:styleId="Bezmezer">
    <w:name w:val="No Spacing"/>
    <w:uiPriority w:val="1"/>
    <w:qFormat/>
    <w:rsid w:val="00B50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style>
  <w:style w:type="paragraph" w:styleId="Textbubliny">
    <w:name w:val="Balloon Text"/>
    <w:basedOn w:val="Normln"/>
    <w:link w:val="TextbublinyChar"/>
    <w:uiPriority w:val="99"/>
    <w:semiHidden/>
    <w:unhideWhenUsed/>
    <w:rsid w:val="004A4AB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4AB1"/>
    <w:rPr>
      <w:rFonts w:ascii="Segoe UI" w:hAnsi="Segoe UI" w:cs="Segoe UI"/>
      <w:color w:val="000000"/>
      <w:sz w:val="18"/>
      <w:szCs w:val="18"/>
      <w:u w:color="000000"/>
    </w:rPr>
  </w:style>
  <w:style w:type="paragraph" w:styleId="Zhlav">
    <w:name w:val="header"/>
    <w:basedOn w:val="Normln"/>
    <w:link w:val="ZhlavChar"/>
    <w:uiPriority w:val="99"/>
    <w:unhideWhenUsed/>
    <w:rsid w:val="00197C56"/>
    <w:pPr>
      <w:tabs>
        <w:tab w:val="center" w:pos="4536"/>
        <w:tab w:val="right" w:pos="9072"/>
      </w:tabs>
      <w:spacing w:after="0"/>
    </w:pPr>
  </w:style>
  <w:style w:type="character" w:customStyle="1" w:styleId="ZhlavChar">
    <w:name w:val="Záhlaví Char"/>
    <w:basedOn w:val="Standardnpsmoodstavce"/>
    <w:link w:val="Zhlav"/>
    <w:uiPriority w:val="99"/>
    <w:rsid w:val="00197C56"/>
    <w:rPr>
      <w:rFonts w:cs="Arial Unicode MS"/>
      <w:color w:val="000000"/>
      <w:u w:color="000000"/>
    </w:rPr>
  </w:style>
  <w:style w:type="paragraph" w:styleId="Zpat">
    <w:name w:val="footer"/>
    <w:basedOn w:val="Normln"/>
    <w:link w:val="ZpatChar"/>
    <w:uiPriority w:val="99"/>
    <w:unhideWhenUsed/>
    <w:rsid w:val="00197C56"/>
    <w:pPr>
      <w:tabs>
        <w:tab w:val="center" w:pos="4536"/>
        <w:tab w:val="right" w:pos="9072"/>
      </w:tabs>
      <w:spacing w:after="0"/>
    </w:pPr>
  </w:style>
  <w:style w:type="character" w:customStyle="1" w:styleId="ZpatChar">
    <w:name w:val="Zápatí Char"/>
    <w:basedOn w:val="Standardnpsmoodstavce"/>
    <w:link w:val="Zpat"/>
    <w:uiPriority w:val="99"/>
    <w:rsid w:val="00197C56"/>
    <w:rPr>
      <w:rFonts w:cs="Arial Unicode MS"/>
      <w:color w:val="000000"/>
      <w:u w:color="000000"/>
    </w:rPr>
  </w:style>
  <w:style w:type="character" w:styleId="Sledovanodkaz">
    <w:name w:val="FollowedHyperlink"/>
    <w:basedOn w:val="Standardnpsmoodstavce"/>
    <w:uiPriority w:val="99"/>
    <w:semiHidden/>
    <w:unhideWhenUsed/>
    <w:rsid w:val="00957A1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mlouvy.gov.cz/smlouva/18084695" TargetMode="External"/><Relationship Id="rId3" Type="http://schemas.openxmlformats.org/officeDocument/2006/relationships/settings" Target="settings.xml"/><Relationship Id="rId7" Type="http://schemas.openxmlformats.org/officeDocument/2006/relationships/hyperlink" Target="https://smlouvy.gov.cz/smlouva/174037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909</Words>
  <Characters>5369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Slámová Václava</dc:creator>
  <cp:lastModifiedBy>Vacíková Ivana</cp:lastModifiedBy>
  <cp:revision>13</cp:revision>
  <cp:lastPrinted>2021-11-01T12:33:00Z</cp:lastPrinted>
  <dcterms:created xsi:type="dcterms:W3CDTF">2021-04-30T09:02:00Z</dcterms:created>
  <dcterms:modified xsi:type="dcterms:W3CDTF">2021-11-01T12:33:00Z</dcterms:modified>
</cp:coreProperties>
</file>