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C1D7" w14:textId="77777777" w:rsidR="00D76C7A" w:rsidRPr="00A2246C" w:rsidRDefault="00240F03" w:rsidP="001459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2246C">
        <w:rPr>
          <w:rFonts w:ascii="Arial" w:hAnsi="Arial" w:cs="Arial"/>
          <w:b/>
          <w:sz w:val="24"/>
          <w:szCs w:val="24"/>
        </w:rPr>
        <w:t>Postup správce při správě místního poplatku za odkládání komunálního odpadu</w:t>
      </w:r>
      <w:r w:rsidR="004016AA" w:rsidRPr="00A2246C">
        <w:rPr>
          <w:rFonts w:ascii="Arial" w:hAnsi="Arial" w:cs="Arial"/>
          <w:b/>
          <w:sz w:val="24"/>
          <w:szCs w:val="24"/>
        </w:rPr>
        <w:t xml:space="preserve"> z nemovité věci</w:t>
      </w:r>
    </w:p>
    <w:p w14:paraId="22BA1C97" w14:textId="3D875FB4" w:rsidR="008D1CE3" w:rsidRPr="00CF0195" w:rsidRDefault="008133AE" w:rsidP="00CF0195">
      <w:pPr>
        <w:jc w:val="both"/>
        <w:rPr>
          <w:rFonts w:ascii="Arial" w:hAnsi="Arial" w:cs="Arial"/>
        </w:rPr>
      </w:pPr>
      <w:r w:rsidRPr="00497488">
        <w:rPr>
          <w:rFonts w:ascii="Arial" w:hAnsi="Arial" w:cs="Arial"/>
          <w:color w:val="111111"/>
          <w:shd w:val="clear" w:color="auto" w:fill="FFFFFF"/>
        </w:rPr>
        <w:t>Při</w:t>
      </w:r>
      <w:r w:rsidR="006E4EED" w:rsidRPr="00497488">
        <w:rPr>
          <w:rFonts w:ascii="Arial" w:hAnsi="Arial" w:cs="Arial"/>
          <w:color w:val="111111"/>
          <w:shd w:val="clear" w:color="auto" w:fill="FFFFFF"/>
        </w:rPr>
        <w:t xml:space="preserve"> správním</w:t>
      </w:r>
      <w:r w:rsidRPr="00497488">
        <w:rPr>
          <w:rFonts w:ascii="Arial" w:hAnsi="Arial" w:cs="Arial"/>
          <w:color w:val="111111"/>
          <w:shd w:val="clear" w:color="auto" w:fill="FFFFFF"/>
        </w:rPr>
        <w:t xml:space="preserve"> řízení o</w:t>
      </w:r>
      <w:r w:rsidR="006E4EED" w:rsidRPr="00497488">
        <w:rPr>
          <w:rFonts w:ascii="Arial" w:hAnsi="Arial" w:cs="Arial"/>
          <w:color w:val="111111"/>
          <w:shd w:val="clear" w:color="auto" w:fill="FFFFFF"/>
        </w:rPr>
        <w:t xml:space="preserve"> místním poplatku za odkládání komunálního odpadu z nemovité věci (dále jen „místní poplatek“)</w:t>
      </w:r>
      <w:r w:rsidRPr="00497488">
        <w:rPr>
          <w:rFonts w:ascii="Arial" w:hAnsi="Arial" w:cs="Arial"/>
          <w:color w:val="111111"/>
          <w:shd w:val="clear" w:color="auto" w:fill="FFFFFF"/>
        </w:rPr>
        <w:t> je správce poplatku (</w:t>
      </w:r>
      <w:r w:rsidR="00EC7026" w:rsidRPr="00497488">
        <w:rPr>
          <w:rFonts w:ascii="Arial" w:hAnsi="Arial" w:cs="Arial"/>
          <w:color w:val="111111"/>
          <w:shd w:val="clear" w:color="auto" w:fill="FFFFFF"/>
        </w:rPr>
        <w:t>Magistrát města Plzně)</w:t>
      </w:r>
      <w:r w:rsidRPr="00497488">
        <w:rPr>
          <w:rFonts w:ascii="Arial" w:hAnsi="Arial" w:cs="Arial"/>
          <w:color w:val="111111"/>
          <w:shd w:val="clear" w:color="auto" w:fill="FFFFFF"/>
        </w:rPr>
        <w:t xml:space="preserve"> povinen respektovat příslušná ustanovení </w:t>
      </w:r>
      <w:r w:rsidR="006E4EED" w:rsidRPr="00497488">
        <w:rPr>
          <w:rFonts w:ascii="Arial" w:hAnsi="Arial" w:cs="Arial"/>
          <w:color w:val="111111"/>
          <w:shd w:val="clear" w:color="auto" w:fill="FFFFFF"/>
        </w:rPr>
        <w:t xml:space="preserve">zákona o místních poplatcích a </w:t>
      </w:r>
      <w:r w:rsidRPr="00497488">
        <w:rPr>
          <w:rFonts w:ascii="Arial" w:hAnsi="Arial" w:cs="Arial"/>
          <w:color w:val="111111"/>
          <w:shd w:val="clear" w:color="auto" w:fill="FFFFFF"/>
        </w:rPr>
        <w:t>daňového řádu. </w:t>
      </w:r>
      <w:r w:rsidR="004D7868" w:rsidRPr="00497488">
        <w:rPr>
          <w:rFonts w:ascii="Arial" w:hAnsi="Arial" w:cs="Arial"/>
        </w:rPr>
        <w:t xml:space="preserve">Obsahem </w:t>
      </w:r>
      <w:r w:rsidR="003E7E38">
        <w:rPr>
          <w:rFonts w:ascii="Arial" w:hAnsi="Arial" w:cs="Arial"/>
        </w:rPr>
        <w:t>tohoto mater</w:t>
      </w:r>
      <w:r w:rsidR="00D557B4">
        <w:rPr>
          <w:rFonts w:ascii="Arial" w:hAnsi="Arial" w:cs="Arial"/>
        </w:rPr>
        <w:t>iálu</w:t>
      </w:r>
      <w:r w:rsidR="006E4EED" w:rsidRPr="00497488">
        <w:rPr>
          <w:rFonts w:ascii="Arial" w:hAnsi="Arial" w:cs="Arial"/>
        </w:rPr>
        <w:t xml:space="preserve"> </w:t>
      </w:r>
      <w:r w:rsidR="001128D9" w:rsidRPr="00497488">
        <w:rPr>
          <w:rFonts w:ascii="Arial" w:hAnsi="Arial" w:cs="Arial"/>
        </w:rPr>
        <w:t xml:space="preserve">je shrnutí </w:t>
      </w:r>
      <w:proofErr w:type="gramStart"/>
      <w:r w:rsidR="001128D9" w:rsidRPr="00497488">
        <w:rPr>
          <w:rFonts w:ascii="Arial" w:hAnsi="Arial" w:cs="Arial"/>
        </w:rPr>
        <w:t>a  popis</w:t>
      </w:r>
      <w:proofErr w:type="gramEnd"/>
      <w:r w:rsidR="001128D9" w:rsidRPr="00497488">
        <w:rPr>
          <w:rFonts w:ascii="Arial" w:hAnsi="Arial" w:cs="Arial"/>
        </w:rPr>
        <w:t xml:space="preserve"> současných nástrojů </w:t>
      </w:r>
      <w:r w:rsidR="004D7868" w:rsidRPr="00497488">
        <w:rPr>
          <w:rFonts w:ascii="Arial" w:hAnsi="Arial" w:cs="Arial"/>
        </w:rPr>
        <w:t>samos</w:t>
      </w:r>
      <w:r w:rsidR="001128D9" w:rsidRPr="00497488">
        <w:rPr>
          <w:rFonts w:ascii="Arial" w:hAnsi="Arial" w:cs="Arial"/>
        </w:rPr>
        <w:t>právy</w:t>
      </w:r>
      <w:r w:rsidR="00B273D7" w:rsidRPr="00497488">
        <w:rPr>
          <w:rFonts w:ascii="Arial" w:hAnsi="Arial" w:cs="Arial"/>
        </w:rPr>
        <w:t>, kter</w:t>
      </w:r>
      <w:r w:rsidR="00066E92" w:rsidRPr="00497488">
        <w:rPr>
          <w:rFonts w:ascii="Arial" w:hAnsi="Arial" w:cs="Arial"/>
        </w:rPr>
        <w:t>é</w:t>
      </w:r>
      <w:r w:rsidR="00B273D7" w:rsidRPr="00497488">
        <w:rPr>
          <w:rFonts w:ascii="Arial" w:hAnsi="Arial" w:cs="Arial"/>
        </w:rPr>
        <w:t xml:space="preserve"> bud</w:t>
      </w:r>
      <w:r w:rsidR="00066E92" w:rsidRPr="00497488">
        <w:rPr>
          <w:rFonts w:ascii="Arial" w:hAnsi="Arial" w:cs="Arial"/>
        </w:rPr>
        <w:t>ou</w:t>
      </w:r>
      <w:r w:rsidR="00B273D7" w:rsidRPr="00497488">
        <w:rPr>
          <w:rFonts w:ascii="Arial" w:hAnsi="Arial" w:cs="Arial"/>
        </w:rPr>
        <w:t xml:space="preserve"> </w:t>
      </w:r>
      <w:r w:rsidR="00D557B4">
        <w:rPr>
          <w:rFonts w:ascii="Arial" w:hAnsi="Arial" w:cs="Arial"/>
        </w:rPr>
        <w:t xml:space="preserve">správcem poplatku </w:t>
      </w:r>
      <w:r w:rsidR="00B273D7" w:rsidRPr="00497488">
        <w:rPr>
          <w:rFonts w:ascii="Arial" w:hAnsi="Arial" w:cs="Arial"/>
        </w:rPr>
        <w:t>uplatňován</w:t>
      </w:r>
      <w:r w:rsidR="00066E92" w:rsidRPr="00497488">
        <w:rPr>
          <w:rFonts w:ascii="Arial" w:hAnsi="Arial" w:cs="Arial"/>
        </w:rPr>
        <w:t>y</w:t>
      </w:r>
      <w:r w:rsidR="00B273D7" w:rsidRPr="00497488">
        <w:rPr>
          <w:rFonts w:ascii="Arial" w:hAnsi="Arial" w:cs="Arial"/>
        </w:rPr>
        <w:t xml:space="preserve"> pro všechny plátce a poplatníky místního poplatku</w:t>
      </w:r>
      <w:r w:rsidR="00D557B4">
        <w:rPr>
          <w:rFonts w:ascii="Arial" w:hAnsi="Arial" w:cs="Arial"/>
        </w:rPr>
        <w:t xml:space="preserve"> (dále jen „postup správce“)</w:t>
      </w:r>
      <w:r w:rsidR="00B273D7" w:rsidRPr="00497488">
        <w:rPr>
          <w:rFonts w:ascii="Arial" w:hAnsi="Arial" w:cs="Arial"/>
        </w:rPr>
        <w:t>.</w:t>
      </w:r>
      <w:r w:rsidR="001128D9" w:rsidRPr="00497488">
        <w:rPr>
          <w:rFonts w:ascii="Arial" w:hAnsi="Arial" w:cs="Arial"/>
        </w:rPr>
        <w:t xml:space="preserve"> </w:t>
      </w:r>
      <w:r w:rsidR="004D7868" w:rsidRPr="00497488">
        <w:rPr>
          <w:rFonts w:ascii="Arial" w:hAnsi="Arial" w:cs="Arial"/>
        </w:rPr>
        <w:t>Postup správce</w:t>
      </w:r>
      <w:r w:rsidR="001128D9" w:rsidRPr="00497488">
        <w:rPr>
          <w:rFonts w:ascii="Arial" w:hAnsi="Arial" w:cs="Arial"/>
        </w:rPr>
        <w:t xml:space="preserve"> </w:t>
      </w:r>
      <w:proofErr w:type="gramStart"/>
      <w:r w:rsidR="001128D9" w:rsidRPr="00497488">
        <w:rPr>
          <w:rFonts w:ascii="Arial" w:hAnsi="Arial" w:cs="Arial"/>
        </w:rPr>
        <w:t xml:space="preserve">obsahuje </w:t>
      </w:r>
      <w:r w:rsidR="00D557B4" w:rsidRPr="00497488">
        <w:rPr>
          <w:rFonts w:ascii="Arial" w:hAnsi="Arial" w:cs="Arial"/>
        </w:rPr>
        <w:t xml:space="preserve"> </w:t>
      </w:r>
      <w:r w:rsidR="001128D9" w:rsidRPr="00497488">
        <w:rPr>
          <w:rFonts w:ascii="Arial" w:hAnsi="Arial" w:cs="Arial"/>
        </w:rPr>
        <w:t>řadu</w:t>
      </w:r>
      <w:proofErr w:type="gramEnd"/>
      <w:r w:rsidR="001128D9" w:rsidRPr="00497488">
        <w:rPr>
          <w:rFonts w:ascii="Arial" w:hAnsi="Arial" w:cs="Arial"/>
        </w:rPr>
        <w:t xml:space="preserve"> informací, které mohou pomoci obyvatelům obc</w:t>
      </w:r>
      <w:r w:rsidR="004D7868" w:rsidRPr="00497488">
        <w:rPr>
          <w:rFonts w:ascii="Arial" w:hAnsi="Arial" w:cs="Arial"/>
        </w:rPr>
        <w:t>e</w:t>
      </w:r>
      <w:r w:rsidR="001128D9" w:rsidRPr="00497488">
        <w:rPr>
          <w:rFonts w:ascii="Arial" w:hAnsi="Arial" w:cs="Arial"/>
        </w:rPr>
        <w:t xml:space="preserve"> pro uplatnění jejich práv</w:t>
      </w:r>
      <w:r w:rsidR="004D7868" w:rsidRPr="00497488">
        <w:rPr>
          <w:rFonts w:ascii="Arial" w:hAnsi="Arial" w:cs="Arial"/>
        </w:rPr>
        <w:t>.</w:t>
      </w:r>
      <w:r w:rsidR="00066E92" w:rsidRPr="00497488">
        <w:rPr>
          <w:rFonts w:ascii="Arial" w:hAnsi="Arial" w:cs="Arial"/>
        </w:rPr>
        <w:t xml:space="preserve"> </w:t>
      </w:r>
      <w:r w:rsidR="001128D9" w:rsidRPr="00497488">
        <w:rPr>
          <w:rFonts w:ascii="Arial" w:hAnsi="Arial" w:cs="Arial"/>
        </w:rPr>
        <w:t>P</w:t>
      </w:r>
      <w:r w:rsidR="00B273D7" w:rsidRPr="00497488">
        <w:rPr>
          <w:rFonts w:ascii="Arial" w:hAnsi="Arial" w:cs="Arial"/>
        </w:rPr>
        <w:t>ostup správce</w:t>
      </w:r>
      <w:r w:rsidR="001128D9" w:rsidRPr="00497488">
        <w:rPr>
          <w:rFonts w:ascii="Arial" w:hAnsi="Arial" w:cs="Arial"/>
        </w:rPr>
        <w:t xml:space="preserve"> si klade za cíl posílení dobré správní praxe</w:t>
      </w:r>
      <w:r w:rsidR="00B273D7" w:rsidRPr="00497488">
        <w:rPr>
          <w:rFonts w:ascii="Arial" w:hAnsi="Arial" w:cs="Arial"/>
        </w:rPr>
        <w:t>.</w:t>
      </w:r>
      <w:r w:rsidR="001128D9" w:rsidRPr="00CF0195">
        <w:rPr>
          <w:rFonts w:ascii="Arial" w:hAnsi="Arial" w:cs="Arial"/>
        </w:rPr>
        <w:t xml:space="preserve"> </w:t>
      </w:r>
    </w:p>
    <w:p w14:paraId="58E78B45" w14:textId="77777777" w:rsidR="00355C3B" w:rsidRPr="00355C3B" w:rsidRDefault="00B86888" w:rsidP="003866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55C3B">
        <w:rPr>
          <w:rFonts w:ascii="Arial" w:hAnsi="Arial" w:cs="Arial"/>
          <w:b/>
        </w:rPr>
        <w:t>Ceník poplatku</w:t>
      </w:r>
    </w:p>
    <w:p w14:paraId="45D6BBAB" w14:textId="77777777" w:rsidR="00192C33" w:rsidRPr="00355C3B" w:rsidRDefault="00192C33" w:rsidP="00355C3B">
      <w:pPr>
        <w:jc w:val="both"/>
        <w:rPr>
          <w:rFonts w:ascii="Arial" w:hAnsi="Arial" w:cs="Arial"/>
        </w:rPr>
      </w:pPr>
      <w:r w:rsidRPr="00355C3B">
        <w:rPr>
          <w:rFonts w:ascii="Arial" w:hAnsi="Arial" w:cs="Arial"/>
        </w:rPr>
        <w:t xml:space="preserve">Na základě článku </w:t>
      </w:r>
      <w:r w:rsidR="0072297B" w:rsidRPr="00355C3B">
        <w:rPr>
          <w:rFonts w:ascii="Arial" w:hAnsi="Arial" w:cs="Arial"/>
        </w:rPr>
        <w:t xml:space="preserve">Čl. </w:t>
      </w:r>
      <w:r w:rsidR="008D1CE3" w:rsidRPr="00355C3B">
        <w:rPr>
          <w:rFonts w:ascii="Arial" w:hAnsi="Arial" w:cs="Arial"/>
        </w:rPr>
        <w:t>6</w:t>
      </w:r>
      <w:r w:rsidRPr="00355C3B">
        <w:rPr>
          <w:rFonts w:ascii="Arial" w:hAnsi="Arial" w:cs="Arial"/>
        </w:rPr>
        <w:t xml:space="preserve"> </w:t>
      </w:r>
      <w:r w:rsidR="00632B58" w:rsidRPr="00355C3B">
        <w:rPr>
          <w:rFonts w:ascii="Arial" w:hAnsi="Arial" w:cs="Arial"/>
        </w:rPr>
        <w:t>obecně závazn</w:t>
      </w:r>
      <w:r w:rsidR="00B32FD4" w:rsidRPr="00355C3B">
        <w:rPr>
          <w:rFonts w:ascii="Arial" w:hAnsi="Arial" w:cs="Arial"/>
        </w:rPr>
        <w:t>é</w:t>
      </w:r>
      <w:r w:rsidR="00632B58" w:rsidRPr="00355C3B">
        <w:rPr>
          <w:rFonts w:ascii="Arial" w:hAnsi="Arial" w:cs="Arial"/>
        </w:rPr>
        <w:t xml:space="preserve"> vyhlášk</w:t>
      </w:r>
      <w:r w:rsidR="00B32FD4" w:rsidRPr="00355C3B">
        <w:rPr>
          <w:rFonts w:ascii="Arial" w:hAnsi="Arial" w:cs="Arial"/>
        </w:rPr>
        <w:t>y</w:t>
      </w:r>
      <w:r w:rsidR="00632B58" w:rsidRPr="00355C3B">
        <w:rPr>
          <w:rFonts w:ascii="Arial" w:hAnsi="Arial" w:cs="Arial"/>
        </w:rPr>
        <w:t xml:space="preserve"> č.  /2021, o místním poplatku </w:t>
      </w:r>
      <w:r w:rsidR="008D1CE3" w:rsidRPr="00355C3B">
        <w:rPr>
          <w:rFonts w:ascii="Arial" w:hAnsi="Arial" w:cs="Arial"/>
        </w:rPr>
        <w:t>za odkládání komunálního odpadu z nemovité věci</w:t>
      </w:r>
      <w:r w:rsidR="005126D5" w:rsidRPr="00355C3B">
        <w:rPr>
          <w:rFonts w:ascii="Arial" w:hAnsi="Arial" w:cs="Arial"/>
        </w:rPr>
        <w:t xml:space="preserve"> (dále jen „vyhláška“)</w:t>
      </w:r>
      <w:r w:rsidR="00BF0961" w:rsidRPr="00355C3B">
        <w:rPr>
          <w:rFonts w:ascii="Arial" w:hAnsi="Arial" w:cs="Arial"/>
        </w:rPr>
        <w:t xml:space="preserve"> činí sazba poplatku </w:t>
      </w:r>
      <w:r w:rsidR="0072297B" w:rsidRPr="00355C3B">
        <w:rPr>
          <w:rFonts w:ascii="Arial" w:hAnsi="Arial" w:cs="Arial"/>
        </w:rPr>
        <w:t>0,31 Kč za l</w:t>
      </w:r>
      <w:r w:rsidR="00593FDE" w:rsidRPr="00355C3B">
        <w:rPr>
          <w:rFonts w:ascii="Arial" w:hAnsi="Arial" w:cs="Arial"/>
        </w:rPr>
        <w:t>itr</w:t>
      </w:r>
      <w:r w:rsidR="0072297B" w:rsidRPr="00355C3B">
        <w:rPr>
          <w:rFonts w:ascii="Arial" w:hAnsi="Arial" w:cs="Arial"/>
        </w:rPr>
        <w:t xml:space="preserve">. </w:t>
      </w:r>
      <w:r w:rsidR="0072297B" w:rsidRPr="00355C3B">
        <w:rPr>
          <w:rFonts w:ascii="Arial" w:eastAsia="Segoe UI Emoji" w:hAnsi="Arial" w:cs="Arial"/>
        </w:rPr>
        <w:t xml:space="preserve"> </w:t>
      </w:r>
    </w:p>
    <w:p w14:paraId="59EA74A6" w14:textId="77777777" w:rsidR="00B32FD4" w:rsidRPr="00A2246C" w:rsidRDefault="00B32FD4" w:rsidP="00B32FD4">
      <w:pPr>
        <w:rPr>
          <w:rFonts w:ascii="Arial" w:hAnsi="Arial" w:cs="Arial"/>
        </w:rPr>
      </w:pPr>
      <w:bookmarkStart w:id="1" w:name="_Hlk80003967"/>
      <w:r w:rsidRPr="00A2246C">
        <w:rPr>
          <w:rFonts w:ascii="Arial" w:hAnsi="Arial" w:cs="Arial"/>
        </w:rPr>
        <w:t xml:space="preserve">Roční poplatek přepočtený na měsíc je zaokrouhlen matematicky na celé Kč. </w:t>
      </w: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742"/>
        <w:gridCol w:w="914"/>
        <w:gridCol w:w="960"/>
        <w:gridCol w:w="960"/>
        <w:gridCol w:w="960"/>
      </w:tblGrid>
      <w:tr w:rsidR="00D23879" w:rsidRPr="00D23879" w14:paraId="2BF88E27" w14:textId="77777777" w:rsidTr="00D23879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1289E2DE" w14:textId="77777777" w:rsidR="00D23879" w:rsidRPr="00D23879" w:rsidRDefault="00D23879" w:rsidP="00C42254">
            <w:pPr>
              <w:spacing w:after="0" w:line="240" w:lineRule="auto"/>
              <w:ind w:right="-597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ROČNÍ POPLATKY OD 1.1.2022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AF7" w14:textId="6A833337" w:rsidR="00D23879" w:rsidRPr="00D23879" w:rsidRDefault="00D557B4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(V 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809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371A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3879" w:rsidRPr="00D23879" w14:paraId="63285F98" w14:textId="77777777" w:rsidTr="00D23879">
        <w:trPr>
          <w:trHeight w:val="300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7972405C" w14:textId="77777777" w:rsidR="00D23879" w:rsidRPr="00D23879" w:rsidRDefault="00D23879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2F1C1397" w14:textId="77777777" w:rsidR="00D23879" w:rsidRPr="00D23879" w:rsidRDefault="00D23879" w:rsidP="00D2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frekvence svozu (počet za rok) </w:t>
            </w:r>
          </w:p>
        </w:tc>
      </w:tr>
      <w:tr w:rsidR="00D23879" w:rsidRPr="00D23879" w14:paraId="17AF353D" w14:textId="77777777" w:rsidTr="00D23879">
        <w:trPr>
          <w:trHeight w:val="600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EE83EF6" w14:textId="77777777" w:rsidR="00D23879" w:rsidRPr="00D23879" w:rsidRDefault="00D23879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 v litrech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EC416B1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A76E6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94320AF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49CD69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D5A2E4E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156</w:t>
            </w:r>
          </w:p>
        </w:tc>
      </w:tr>
      <w:tr w:rsidR="00D23879" w:rsidRPr="00D23879" w14:paraId="5CADB553" w14:textId="77777777" w:rsidTr="00D23879">
        <w:trPr>
          <w:trHeight w:val="30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9A22E7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52C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972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E6E0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A91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253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461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5808</w:t>
            </w:r>
            <w:r w:rsidR="006D77DE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D23879" w:rsidRPr="00D23879" w14:paraId="1CAAF982" w14:textId="77777777" w:rsidTr="00D23879">
        <w:trPr>
          <w:trHeight w:val="30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F120A3F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53D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1932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9165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089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061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7740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D17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11604</w:t>
            </w:r>
          </w:p>
        </w:tc>
      </w:tr>
      <w:tr w:rsidR="00D23879" w:rsidRPr="00D23879" w14:paraId="5804A881" w14:textId="77777777" w:rsidTr="00D23879">
        <w:trPr>
          <w:trHeight w:val="30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632B502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430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5316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85F3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8592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CF5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10644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6E4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21276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208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31920</w:t>
            </w:r>
          </w:p>
        </w:tc>
      </w:tr>
      <w:tr w:rsidR="00D23879" w:rsidRPr="00D23879" w14:paraId="70D892D9" w14:textId="77777777" w:rsidTr="00D23879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C13069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F3EE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8868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562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14328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C1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17736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8A8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580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53196</w:t>
            </w:r>
          </w:p>
        </w:tc>
      </w:tr>
      <w:tr w:rsidR="00D23879" w:rsidRPr="00D23879" w14:paraId="3219E501" w14:textId="77777777" w:rsidTr="00D23879">
        <w:trPr>
          <w:trHeight w:val="24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8B5" w14:textId="77777777" w:rsidR="00A976B3" w:rsidRPr="00D23879" w:rsidRDefault="00A976B3" w:rsidP="006E6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848F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C65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1C3F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04A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F196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3879" w:rsidRPr="00D23879" w14:paraId="0307B12D" w14:textId="77777777" w:rsidTr="00D23879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537" w14:textId="31E1BCC5" w:rsidR="00D23879" w:rsidRPr="00D23879" w:rsidRDefault="00D23879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MĚSÍČNÍ POPLATKY OD 1. 1. 2022</w:t>
            </w:r>
            <w:r w:rsidR="00D557B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(V KČ)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E42" w14:textId="77777777" w:rsidR="00D23879" w:rsidRPr="00D23879" w:rsidRDefault="00D23879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432" w14:textId="77777777" w:rsidR="00D23879" w:rsidRPr="00D23879" w:rsidRDefault="00D23879" w:rsidP="00D2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3879" w:rsidRPr="00D23879" w14:paraId="1819149E" w14:textId="77777777" w:rsidTr="00D23879">
        <w:trPr>
          <w:trHeight w:val="300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924CB1C" w14:textId="77777777" w:rsidR="00D23879" w:rsidRPr="00D23879" w:rsidRDefault="00D23879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7390E11D" w14:textId="77777777" w:rsidR="00D23879" w:rsidRPr="00D23879" w:rsidRDefault="00D23879" w:rsidP="00D23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frekvence svozu (počet za rok) </w:t>
            </w:r>
          </w:p>
        </w:tc>
      </w:tr>
      <w:tr w:rsidR="00D23879" w:rsidRPr="00D23879" w14:paraId="4F492710" w14:textId="77777777" w:rsidTr="00D23879">
        <w:trPr>
          <w:trHeight w:val="615"/>
        </w:trPr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1538A746" w14:textId="77777777" w:rsidR="00D23879" w:rsidRPr="00D23879" w:rsidRDefault="00D23879" w:rsidP="00D238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 v litrech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975F2E9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F49D3F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417A77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03F562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8E97563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156</w:t>
            </w:r>
          </w:p>
        </w:tc>
      </w:tr>
      <w:tr w:rsidR="00D23879" w:rsidRPr="00D23879" w14:paraId="380AF04D" w14:textId="77777777" w:rsidTr="00D23879">
        <w:trPr>
          <w:trHeight w:val="30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446C7152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ED5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6544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AE9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1E1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9848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484</w:t>
            </w:r>
            <w:r w:rsidR="00E9421D">
              <w:rPr>
                <w:rFonts w:ascii="Calibri" w:eastAsia="Times New Roman" w:hAnsi="Calibri" w:cs="Calibri"/>
                <w:color w:val="000000"/>
                <w:lang w:eastAsia="cs-CZ"/>
              </w:rPr>
              <w:t>*</w:t>
            </w:r>
          </w:p>
        </w:tc>
      </w:tr>
      <w:tr w:rsidR="00D23879" w:rsidRPr="00D23879" w14:paraId="18CFF87D" w14:textId="77777777" w:rsidTr="00D23879">
        <w:trPr>
          <w:trHeight w:val="30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16B19444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37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688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FE1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7BA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41E02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967</w:t>
            </w:r>
          </w:p>
        </w:tc>
      </w:tr>
      <w:tr w:rsidR="00D23879" w:rsidRPr="00D23879" w14:paraId="0A99C448" w14:textId="77777777" w:rsidTr="00D23879">
        <w:trPr>
          <w:trHeight w:val="30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7D7C8B01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660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D0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443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C2B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10F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23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393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2660</w:t>
            </w:r>
          </w:p>
        </w:tc>
      </w:tr>
      <w:tr w:rsidR="00D23879" w:rsidRPr="00D23879" w14:paraId="4CC7C779" w14:textId="77777777" w:rsidTr="00D23879">
        <w:trPr>
          <w:trHeight w:val="31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480BB4B4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03A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739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49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C13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015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F1726" w14:textId="77777777" w:rsidR="00D23879" w:rsidRPr="00D23879" w:rsidRDefault="00D23879" w:rsidP="00D23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3879">
              <w:rPr>
                <w:rFonts w:ascii="Calibri" w:eastAsia="Times New Roman" w:hAnsi="Calibri" w:cs="Calibri"/>
                <w:color w:val="000000"/>
                <w:lang w:eastAsia="cs-CZ"/>
              </w:rPr>
              <w:t>4433</w:t>
            </w:r>
          </w:p>
        </w:tc>
      </w:tr>
    </w:tbl>
    <w:p w14:paraId="273C4F6A" w14:textId="7A87F114" w:rsidR="009F274C" w:rsidRPr="009F274C" w:rsidRDefault="009F274C" w:rsidP="009F274C">
      <w:pPr>
        <w:pStyle w:val="Textvysvtlivek"/>
        <w:jc w:val="both"/>
        <w:rPr>
          <w:szCs w:val="14"/>
        </w:rPr>
      </w:pPr>
      <w:r w:rsidRPr="009F274C">
        <w:rPr>
          <w:rFonts w:cstheme="minorHAnsi"/>
          <w:sz w:val="24"/>
        </w:rPr>
        <w:t>*</w:t>
      </w:r>
      <w:r w:rsidRPr="009F274C">
        <w:rPr>
          <w:szCs w:val="14"/>
        </w:rPr>
        <w:t xml:space="preserve"> Tato frekvence svozu</w:t>
      </w:r>
      <w:r w:rsidR="00E479BE">
        <w:rPr>
          <w:szCs w:val="14"/>
        </w:rPr>
        <w:t xml:space="preserve"> a objemu soustřeďovacího prostředku</w:t>
      </w:r>
      <w:r w:rsidRPr="009F274C">
        <w:rPr>
          <w:szCs w:val="14"/>
        </w:rPr>
        <w:t xml:space="preserve"> je přípustná na </w:t>
      </w:r>
      <w:proofErr w:type="gramStart"/>
      <w:r w:rsidRPr="009F274C">
        <w:rPr>
          <w:szCs w:val="14"/>
        </w:rPr>
        <w:t>vymezeném  území</w:t>
      </w:r>
      <w:proofErr w:type="gramEnd"/>
      <w:r w:rsidRPr="009F274C">
        <w:rPr>
          <w:szCs w:val="14"/>
        </w:rPr>
        <w:t xml:space="preserve"> dle Přílohy č. 2 k obecně závazné vyhlášce města Plzně č. 5/2014, kterou se stanoví systém shromažďování, </w:t>
      </w:r>
      <w:r w:rsidRPr="009F274C">
        <w:rPr>
          <w:sz w:val="22"/>
          <w:szCs w:val="14"/>
        </w:rPr>
        <w:t>sběru</w:t>
      </w:r>
      <w:r w:rsidRPr="009F274C">
        <w:rPr>
          <w:szCs w:val="14"/>
        </w:rPr>
        <w:t>, přepravy, třídění, využívání a odstraňování komunálního odpadu vznikajícího na území statutárního města Plzně včetně jejich biologicky rozložitelné složky a včetně systému nakládání se stavebním odpadem, ve znění pozdějších vyhlášek.</w:t>
      </w:r>
    </w:p>
    <w:p w14:paraId="4FBF62E8" w14:textId="77777777" w:rsidR="009F274C" w:rsidRPr="009F274C" w:rsidRDefault="009F274C" w:rsidP="009F274C">
      <w:pPr>
        <w:rPr>
          <w:rFonts w:cstheme="minorHAnsi"/>
          <w:sz w:val="20"/>
          <w:szCs w:val="20"/>
        </w:rPr>
      </w:pPr>
    </w:p>
    <w:p w14:paraId="7C425078" w14:textId="77777777" w:rsidR="00A92829" w:rsidRPr="00A2246C" w:rsidRDefault="00B86888" w:rsidP="00A92829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2246C">
        <w:rPr>
          <w:rFonts w:ascii="Arial" w:hAnsi="Arial" w:cs="Arial"/>
          <w:b/>
        </w:rPr>
        <w:t>Začátek a konec poplatkové povinnosti</w:t>
      </w:r>
    </w:p>
    <w:p w14:paraId="42C6EEC1" w14:textId="1A62B947" w:rsidR="0091055E" w:rsidRDefault="00253FF0" w:rsidP="001235A4">
      <w:pPr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>Poplatková povinnost vzniká</w:t>
      </w:r>
      <w:r w:rsidR="00960C16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 xml:space="preserve">prvním dnem kalendářního měsíce následujícího po dni ohlášení </w:t>
      </w:r>
      <w:r w:rsidRPr="00EA3ABE">
        <w:rPr>
          <w:rFonts w:ascii="Arial" w:hAnsi="Arial" w:cs="Arial"/>
        </w:rPr>
        <w:t>plátce</w:t>
      </w:r>
      <w:r w:rsidR="003C6BFA" w:rsidRPr="00EA3ABE">
        <w:rPr>
          <w:rFonts w:ascii="Arial" w:hAnsi="Arial" w:cs="Arial"/>
        </w:rPr>
        <w:t xml:space="preserve"> poplatku</w:t>
      </w:r>
      <w:r w:rsidR="00706AE9">
        <w:rPr>
          <w:rFonts w:ascii="Arial" w:hAnsi="Arial" w:cs="Arial"/>
        </w:rPr>
        <w:t xml:space="preserve"> (dále jen „plátce“)</w:t>
      </w:r>
      <w:r w:rsidR="001122E6">
        <w:rPr>
          <w:rFonts w:ascii="Arial" w:hAnsi="Arial" w:cs="Arial"/>
        </w:rPr>
        <w:t xml:space="preserve">. </w:t>
      </w:r>
      <w:r w:rsidR="004B1137">
        <w:rPr>
          <w:rFonts w:ascii="Arial" w:hAnsi="Arial" w:cs="Arial"/>
        </w:rPr>
        <w:t xml:space="preserve">Přistavení soustřeďovacího prostředku je </w:t>
      </w:r>
      <w:r w:rsidR="00757C18">
        <w:rPr>
          <w:rFonts w:ascii="Arial" w:hAnsi="Arial" w:cs="Arial"/>
        </w:rPr>
        <w:t>realizováno</w:t>
      </w:r>
      <w:r w:rsidR="00B26D89">
        <w:rPr>
          <w:rFonts w:ascii="Arial" w:hAnsi="Arial" w:cs="Arial"/>
        </w:rPr>
        <w:t xml:space="preserve"> </w:t>
      </w:r>
      <w:r w:rsidR="00B26D89" w:rsidRPr="00A2246C">
        <w:rPr>
          <w:rFonts w:ascii="Arial" w:hAnsi="Arial" w:cs="Arial"/>
        </w:rPr>
        <w:t>společnost</w:t>
      </w:r>
      <w:r w:rsidR="00B26D89">
        <w:rPr>
          <w:rFonts w:ascii="Arial" w:hAnsi="Arial" w:cs="Arial"/>
        </w:rPr>
        <w:t>í</w:t>
      </w:r>
      <w:r w:rsidR="00B26D89" w:rsidRPr="00A2246C">
        <w:rPr>
          <w:rFonts w:ascii="Arial" w:hAnsi="Arial" w:cs="Arial"/>
        </w:rPr>
        <w:t xml:space="preserve"> zajišťující na území města Plzně svoz komunálního odpadu</w:t>
      </w:r>
      <w:r w:rsidR="00B26D89">
        <w:rPr>
          <w:rFonts w:ascii="Arial" w:hAnsi="Arial" w:cs="Arial"/>
        </w:rPr>
        <w:t xml:space="preserve"> bez zbytečného odkladu</w:t>
      </w:r>
      <w:r w:rsidR="00F16037">
        <w:rPr>
          <w:rFonts w:ascii="Arial" w:hAnsi="Arial" w:cs="Arial"/>
        </w:rPr>
        <w:t xml:space="preserve"> po vzniku poplatkové povinnosti</w:t>
      </w:r>
      <w:r w:rsidR="00B26D89">
        <w:rPr>
          <w:rFonts w:ascii="Arial" w:hAnsi="Arial" w:cs="Arial"/>
        </w:rPr>
        <w:t>.</w:t>
      </w:r>
      <w:r w:rsidR="001B2282">
        <w:rPr>
          <w:rFonts w:ascii="Arial" w:hAnsi="Arial" w:cs="Arial"/>
        </w:rPr>
        <w:t xml:space="preserve"> </w:t>
      </w:r>
      <w:r w:rsidR="0026155C">
        <w:rPr>
          <w:rFonts w:ascii="Arial" w:hAnsi="Arial" w:cs="Arial"/>
        </w:rPr>
        <w:t xml:space="preserve">Kalendářní rok je rozdělen na dílčí období, kterým je kalendářní měsíc. </w:t>
      </w:r>
      <w:r w:rsidRPr="00A2246C">
        <w:rPr>
          <w:rFonts w:ascii="Arial" w:hAnsi="Arial" w:cs="Arial"/>
        </w:rPr>
        <w:t>Výpočet poplatkové povinnosti se provádí v poměrné výši podle počtu měsíců, ve kterých v průběhu kalendářního roku poplatková povinnost vznikla nebo zanikla</w:t>
      </w:r>
      <w:r w:rsidR="004A1FB8" w:rsidRPr="00A2246C">
        <w:rPr>
          <w:rFonts w:ascii="Arial" w:hAnsi="Arial" w:cs="Arial"/>
        </w:rPr>
        <w:t>.</w:t>
      </w:r>
      <w:r w:rsidRPr="00A2246C">
        <w:rPr>
          <w:rFonts w:ascii="Arial" w:hAnsi="Arial" w:cs="Arial"/>
        </w:rPr>
        <w:t xml:space="preserve"> </w:t>
      </w:r>
    </w:p>
    <w:p w14:paraId="64C23DF9" w14:textId="19E68072" w:rsidR="00253FF0" w:rsidRPr="001B2282" w:rsidRDefault="00253FF0" w:rsidP="001235A4">
      <w:pPr>
        <w:jc w:val="both"/>
        <w:rPr>
          <w:rFonts w:ascii="Arial" w:hAnsi="Arial" w:cs="Arial"/>
        </w:rPr>
      </w:pPr>
      <w:r w:rsidRPr="001B2282">
        <w:rPr>
          <w:rFonts w:ascii="Arial" w:hAnsi="Arial" w:cs="Arial"/>
        </w:rPr>
        <w:lastRenderedPageBreak/>
        <w:t xml:space="preserve">Změna skutečností rozhodných pro stanovení výše poplatku se zohlední ve výši poplatku od prvního dne </w:t>
      </w:r>
      <w:r w:rsidR="00490A2A">
        <w:rPr>
          <w:rFonts w:ascii="Arial" w:hAnsi="Arial" w:cs="Arial"/>
        </w:rPr>
        <w:t xml:space="preserve">kalendářního </w:t>
      </w:r>
      <w:r w:rsidRPr="001B2282">
        <w:rPr>
          <w:rFonts w:ascii="Arial" w:hAnsi="Arial" w:cs="Arial"/>
        </w:rPr>
        <w:t xml:space="preserve">měsíce následujícího po dni, ve kterém bude změna ohlášena správci poplatku. </w:t>
      </w:r>
    </w:p>
    <w:p w14:paraId="0F6C60F4" w14:textId="21DCD45D" w:rsidR="00C81643" w:rsidRPr="002C6B81" w:rsidRDefault="00C81643" w:rsidP="003B3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Poplatková povinnost zaniká první den kalendářního měsíce po dni ohlášení skutečnosti </w:t>
      </w:r>
      <w:r w:rsidR="003B3F65">
        <w:rPr>
          <w:rFonts w:ascii="Arial" w:hAnsi="Arial" w:cs="Arial"/>
        </w:rPr>
        <w:t xml:space="preserve">zakládající zánik poplatkové povinnosti </w:t>
      </w:r>
      <w:r w:rsidRPr="002C6B81">
        <w:rPr>
          <w:rFonts w:ascii="Arial" w:hAnsi="Arial" w:cs="Arial"/>
        </w:rPr>
        <w:t xml:space="preserve">plátcem </w:t>
      </w:r>
      <w:r w:rsidR="003B3F65">
        <w:rPr>
          <w:rFonts w:ascii="Arial" w:hAnsi="Arial" w:cs="Arial"/>
        </w:rPr>
        <w:t xml:space="preserve">správci poplatku </w:t>
      </w:r>
      <w:r w:rsidRPr="002C6B81">
        <w:rPr>
          <w:rFonts w:ascii="Arial" w:hAnsi="Arial" w:cs="Arial"/>
        </w:rPr>
        <w:t xml:space="preserve">nebo po </w:t>
      </w:r>
      <w:proofErr w:type="gramStart"/>
      <w:r w:rsidRPr="002C6B81">
        <w:rPr>
          <w:rFonts w:ascii="Arial" w:hAnsi="Arial" w:cs="Arial"/>
        </w:rPr>
        <w:t>dni  zjištění</w:t>
      </w:r>
      <w:proofErr w:type="gramEnd"/>
      <w:r w:rsidRPr="002C6B81">
        <w:rPr>
          <w:rFonts w:ascii="Arial" w:hAnsi="Arial" w:cs="Arial"/>
        </w:rPr>
        <w:t xml:space="preserve"> </w:t>
      </w:r>
      <w:r w:rsidR="003B3F65">
        <w:rPr>
          <w:rFonts w:ascii="Arial" w:hAnsi="Arial" w:cs="Arial"/>
        </w:rPr>
        <w:t xml:space="preserve">takové </w:t>
      </w:r>
      <w:r w:rsidRPr="002C6B81">
        <w:rPr>
          <w:rFonts w:ascii="Arial" w:hAnsi="Arial" w:cs="Arial"/>
        </w:rPr>
        <w:t>skutečnost</w:t>
      </w:r>
      <w:r w:rsidR="003B3F65">
        <w:rPr>
          <w:rFonts w:ascii="Arial" w:hAnsi="Arial" w:cs="Arial"/>
        </w:rPr>
        <w:t>i</w:t>
      </w:r>
      <w:r w:rsidRPr="002C6B81">
        <w:rPr>
          <w:rFonts w:ascii="Arial" w:hAnsi="Arial" w:cs="Arial"/>
        </w:rPr>
        <w:t xml:space="preserve"> správcem poplatku.  </w:t>
      </w:r>
    </w:p>
    <w:p w14:paraId="5ED411EA" w14:textId="37ACD3E4" w:rsidR="00E96FC4" w:rsidRDefault="00E97919" w:rsidP="001235A4">
      <w:pPr>
        <w:jc w:val="both"/>
        <w:rPr>
          <w:rFonts w:ascii="Arial" w:hAnsi="Arial" w:cs="Arial"/>
        </w:rPr>
      </w:pPr>
      <w:r w:rsidRPr="001B2282">
        <w:rPr>
          <w:rFonts w:ascii="Arial" w:hAnsi="Arial" w:cs="Arial"/>
        </w:rPr>
        <w:t xml:space="preserve">Plátce je </w:t>
      </w:r>
      <w:proofErr w:type="spellStart"/>
      <w:r w:rsidRPr="001B2282">
        <w:rPr>
          <w:rFonts w:ascii="Arial" w:hAnsi="Arial" w:cs="Arial"/>
        </w:rPr>
        <w:t>povinnen</w:t>
      </w:r>
      <w:proofErr w:type="spellEnd"/>
      <w:r w:rsidRPr="001B2282">
        <w:rPr>
          <w:rFonts w:ascii="Arial" w:hAnsi="Arial" w:cs="Arial"/>
        </w:rPr>
        <w:t xml:space="preserve"> oznámit změn</w:t>
      </w:r>
      <w:r w:rsidR="00924879" w:rsidRPr="001B2282">
        <w:rPr>
          <w:rFonts w:ascii="Arial" w:hAnsi="Arial" w:cs="Arial"/>
        </w:rPr>
        <w:t>u</w:t>
      </w:r>
      <w:r w:rsidRPr="001B2282">
        <w:rPr>
          <w:rFonts w:ascii="Arial" w:hAnsi="Arial" w:cs="Arial"/>
        </w:rPr>
        <w:t xml:space="preserve"> skutečností</w:t>
      </w:r>
      <w:r w:rsidR="005664A6">
        <w:rPr>
          <w:rFonts w:ascii="Arial" w:hAnsi="Arial" w:cs="Arial"/>
        </w:rPr>
        <w:t>, včetně skutečnosti o zániku poplatkové povinnosti,</w:t>
      </w:r>
      <w:r w:rsidRPr="001B2282">
        <w:rPr>
          <w:rFonts w:ascii="Arial" w:hAnsi="Arial" w:cs="Arial"/>
        </w:rPr>
        <w:t xml:space="preserve"> do 15 dnů ode dne </w:t>
      </w:r>
      <w:r w:rsidR="00924879" w:rsidRPr="001B2282">
        <w:rPr>
          <w:rFonts w:ascii="Arial" w:hAnsi="Arial" w:cs="Arial"/>
        </w:rPr>
        <w:t>kdy nastala. V případě nedodržení této povinnosti může správce poplatku udělit pokutu za nesplnění povinnosti nepeněžité povahy.</w:t>
      </w:r>
      <w:r w:rsidR="00924879">
        <w:rPr>
          <w:rFonts w:ascii="Arial" w:hAnsi="Arial" w:cs="Arial"/>
        </w:rPr>
        <w:t xml:space="preserve"> </w:t>
      </w:r>
    </w:p>
    <w:p w14:paraId="6F944631" w14:textId="77777777" w:rsidR="00924879" w:rsidRPr="004976A1" w:rsidRDefault="00924879" w:rsidP="001235A4">
      <w:pPr>
        <w:jc w:val="both"/>
        <w:rPr>
          <w:rFonts w:ascii="Arial" w:hAnsi="Arial" w:cs="Arial"/>
          <w:sz w:val="20"/>
          <w:szCs w:val="20"/>
        </w:rPr>
      </w:pPr>
    </w:p>
    <w:p w14:paraId="3FF77CD7" w14:textId="50B8CDAD" w:rsidR="00B86888" w:rsidRPr="00A2246C" w:rsidRDefault="00B86888" w:rsidP="00562E8C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2246C">
        <w:rPr>
          <w:rFonts w:ascii="Arial" w:hAnsi="Arial" w:cs="Arial"/>
          <w:b/>
        </w:rPr>
        <w:t xml:space="preserve">Sdílené </w:t>
      </w:r>
      <w:r w:rsidR="00E67317" w:rsidRPr="00A2246C">
        <w:rPr>
          <w:rFonts w:ascii="Arial" w:hAnsi="Arial" w:cs="Arial"/>
          <w:b/>
        </w:rPr>
        <w:t>soustřeďovací prostředky</w:t>
      </w:r>
    </w:p>
    <w:p w14:paraId="147D23F1" w14:textId="77777777" w:rsidR="00253FF0" w:rsidRPr="00A2246C" w:rsidRDefault="00253FF0" w:rsidP="001B4F31">
      <w:pPr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 xml:space="preserve">Na území města Plzně </w:t>
      </w:r>
      <w:r w:rsidR="007D236E" w:rsidRPr="00A2246C">
        <w:rPr>
          <w:rFonts w:ascii="Arial" w:hAnsi="Arial" w:cs="Arial"/>
        </w:rPr>
        <w:t>j</w:t>
      </w:r>
      <w:r w:rsidRPr="00A2246C">
        <w:rPr>
          <w:rFonts w:ascii="Arial" w:hAnsi="Arial" w:cs="Arial"/>
        </w:rPr>
        <w:t>e možné využít formu sdílených soustřeďovacích prostředků v následujících případech:</w:t>
      </w:r>
    </w:p>
    <w:p w14:paraId="1FD8943E" w14:textId="6F271326" w:rsidR="00253FF0" w:rsidRPr="00A2246C" w:rsidRDefault="00253FF0" w:rsidP="000D34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 xml:space="preserve">sdílený soustřeďovací prostředek 1100 litrů/52 svozů pouze pro nemovité </w:t>
      </w:r>
      <w:proofErr w:type="gramStart"/>
      <w:r w:rsidRPr="00A2246C">
        <w:rPr>
          <w:rFonts w:ascii="Arial" w:hAnsi="Arial" w:cs="Arial"/>
        </w:rPr>
        <w:t>věci  (</w:t>
      </w:r>
      <w:proofErr w:type="gramEnd"/>
      <w:r w:rsidR="00DE5CB7">
        <w:rPr>
          <w:rFonts w:ascii="Arial" w:hAnsi="Arial" w:cs="Arial"/>
        </w:rPr>
        <w:t xml:space="preserve">např. </w:t>
      </w:r>
      <w:r w:rsidRPr="00A2246C">
        <w:rPr>
          <w:rFonts w:ascii="Arial" w:hAnsi="Arial" w:cs="Arial"/>
        </w:rPr>
        <w:t>rodinné domy) s technicky provozně komplikovaným svozem dle sdělení společnosti zajišťující na území města Plzně svoz komunálního odpadu,</w:t>
      </w:r>
    </w:p>
    <w:p w14:paraId="52BBD122" w14:textId="20B756B2" w:rsidR="00253FF0" w:rsidRDefault="00253FF0" w:rsidP="000D344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>sdílený soustřeďovací prostředek 1100 litrů/52 svozů</w:t>
      </w:r>
      <w:r w:rsidRPr="00A2246C">
        <w:rPr>
          <w:rFonts w:ascii="Arial" w:hAnsi="Arial" w:cs="Arial"/>
          <w:color w:val="FF0000"/>
        </w:rPr>
        <w:t xml:space="preserve"> </w:t>
      </w:r>
      <w:r w:rsidRPr="00A2246C">
        <w:rPr>
          <w:rFonts w:ascii="Arial" w:hAnsi="Arial" w:cs="Arial"/>
        </w:rPr>
        <w:t xml:space="preserve">a 1100 litrů/156 svozů pro nemovité věci na vymezeném území dle Přílohy č. </w:t>
      </w:r>
      <w:r w:rsidR="00DE5CB7">
        <w:rPr>
          <w:rFonts w:ascii="Arial" w:hAnsi="Arial" w:cs="Arial"/>
        </w:rPr>
        <w:t>2</w:t>
      </w:r>
      <w:r w:rsidRPr="00A2246C">
        <w:rPr>
          <w:rFonts w:ascii="Arial" w:hAnsi="Arial" w:cs="Arial"/>
        </w:rPr>
        <w:t xml:space="preserve"> k obecně závazné vyhlášce města Plzně </w:t>
      </w:r>
      <w:r w:rsidR="000D3447">
        <w:rPr>
          <w:rFonts w:ascii="Arial" w:hAnsi="Arial" w:cs="Arial"/>
        </w:rPr>
        <w:t xml:space="preserve">                       </w:t>
      </w:r>
      <w:r w:rsidRPr="00A2246C">
        <w:rPr>
          <w:rFonts w:ascii="Arial" w:hAnsi="Arial" w:cs="Arial"/>
        </w:rPr>
        <w:t>č. 5/2014, ve znění pozdějších vyhlášek a dále pro společenství vlastníků, kde je omezená kapacita velikosti stání</w:t>
      </w:r>
      <w:r w:rsidR="00CD4350">
        <w:rPr>
          <w:rFonts w:ascii="Arial" w:hAnsi="Arial" w:cs="Arial"/>
        </w:rPr>
        <w:t>.</w:t>
      </w:r>
    </w:p>
    <w:p w14:paraId="0A52F18D" w14:textId="00394015" w:rsidR="00253FF0" w:rsidRDefault="00253FF0" w:rsidP="001B4F31">
      <w:pPr>
        <w:jc w:val="both"/>
        <w:rPr>
          <w:rFonts w:ascii="Arial" w:hAnsi="Arial" w:cs="Arial"/>
        </w:rPr>
      </w:pPr>
      <w:r w:rsidRPr="00EF2198">
        <w:rPr>
          <w:rFonts w:ascii="Arial" w:hAnsi="Arial" w:cs="Arial"/>
        </w:rPr>
        <w:t>Plátci</w:t>
      </w:r>
      <w:r w:rsidR="00DE5CB7">
        <w:rPr>
          <w:rFonts w:ascii="Arial" w:hAnsi="Arial" w:cs="Arial"/>
        </w:rPr>
        <w:t>, kteří se rozhodli využít</w:t>
      </w:r>
      <w:r w:rsidR="005C1185">
        <w:rPr>
          <w:rFonts w:ascii="Arial" w:hAnsi="Arial" w:cs="Arial"/>
        </w:rPr>
        <w:t xml:space="preserve"> možnost sdílet soustřeďovací prostředek, podají</w:t>
      </w:r>
      <w:r w:rsidR="006410EF" w:rsidRPr="00EF2198">
        <w:rPr>
          <w:rFonts w:ascii="Arial" w:hAnsi="Arial" w:cs="Arial"/>
        </w:rPr>
        <w:t xml:space="preserve"> </w:t>
      </w:r>
      <w:r w:rsidRPr="00EF2198">
        <w:rPr>
          <w:rFonts w:ascii="Arial" w:hAnsi="Arial" w:cs="Arial"/>
        </w:rPr>
        <w:t xml:space="preserve">současně s ohlášením souhlasné prohlášení, ve kterém </w:t>
      </w:r>
      <w:r w:rsidR="005C1185">
        <w:rPr>
          <w:rFonts w:ascii="Arial" w:hAnsi="Arial" w:cs="Arial"/>
        </w:rPr>
        <w:t>uvedou</w:t>
      </w:r>
      <w:r w:rsidRPr="00EF2198">
        <w:rPr>
          <w:rFonts w:ascii="Arial" w:hAnsi="Arial" w:cs="Arial"/>
        </w:rPr>
        <w:t xml:space="preserve"> podíl</w:t>
      </w:r>
      <w:r w:rsidR="005C1185">
        <w:rPr>
          <w:rFonts w:ascii="Arial" w:hAnsi="Arial" w:cs="Arial"/>
        </w:rPr>
        <w:t>y jejich účasti na úhradě místního poplatku</w:t>
      </w:r>
      <w:r w:rsidR="005E1FA4">
        <w:rPr>
          <w:rFonts w:ascii="Arial" w:hAnsi="Arial" w:cs="Arial"/>
        </w:rPr>
        <w:t xml:space="preserve">. </w:t>
      </w:r>
      <w:r w:rsidRPr="00EF2198">
        <w:rPr>
          <w:rFonts w:ascii="Arial" w:hAnsi="Arial" w:cs="Arial"/>
        </w:rPr>
        <w:t>Při změně počtu plátců</w:t>
      </w:r>
      <w:r w:rsidR="006410EF" w:rsidRPr="00EF2198">
        <w:rPr>
          <w:rFonts w:ascii="Arial" w:hAnsi="Arial" w:cs="Arial"/>
        </w:rPr>
        <w:t xml:space="preserve"> </w:t>
      </w:r>
      <w:r w:rsidR="0032375B">
        <w:rPr>
          <w:rFonts w:ascii="Arial" w:hAnsi="Arial" w:cs="Arial"/>
        </w:rPr>
        <w:t xml:space="preserve">je nutné </w:t>
      </w:r>
      <w:r w:rsidR="0017363E">
        <w:rPr>
          <w:rFonts w:ascii="Arial" w:hAnsi="Arial" w:cs="Arial"/>
        </w:rPr>
        <w:t xml:space="preserve">podat nové souhlasné prohlášení. </w:t>
      </w:r>
      <w:r w:rsidRPr="00A2246C">
        <w:rPr>
          <w:rFonts w:ascii="Arial" w:hAnsi="Arial" w:cs="Arial"/>
        </w:rPr>
        <w:t>V případě, že jeden z plátců zanikne a ostatní plátci nedoloží nové souhlasné prohlášení, bude podíl plátce, který zanikl</w:t>
      </w:r>
      <w:r w:rsidR="006C2F8C" w:rsidRPr="00A2246C">
        <w:rPr>
          <w:rFonts w:ascii="Arial" w:hAnsi="Arial" w:cs="Arial"/>
        </w:rPr>
        <w:t xml:space="preserve">, </w:t>
      </w:r>
      <w:r w:rsidRPr="00A2246C">
        <w:rPr>
          <w:rFonts w:ascii="Arial" w:hAnsi="Arial" w:cs="Arial"/>
        </w:rPr>
        <w:t>rozpočten mezi ostatní plátce</w:t>
      </w:r>
      <w:r w:rsidR="005E1FA4">
        <w:rPr>
          <w:rFonts w:ascii="Arial" w:hAnsi="Arial" w:cs="Arial"/>
        </w:rPr>
        <w:t xml:space="preserve"> </w:t>
      </w:r>
      <w:r w:rsidR="005E1FA4" w:rsidRPr="00495101">
        <w:rPr>
          <w:rFonts w:ascii="Arial" w:hAnsi="Arial" w:cs="Arial"/>
        </w:rPr>
        <w:t>podle jejich podílů</w:t>
      </w:r>
      <w:r w:rsidR="00F54AE4" w:rsidRPr="00495101">
        <w:rPr>
          <w:rFonts w:ascii="Arial" w:hAnsi="Arial" w:cs="Arial"/>
        </w:rPr>
        <w:t xml:space="preserve"> stanovených </w:t>
      </w:r>
      <w:r w:rsidR="00F54AE4">
        <w:rPr>
          <w:rFonts w:ascii="Arial" w:hAnsi="Arial" w:cs="Arial"/>
        </w:rPr>
        <w:t>v naposledy známém souhlasném prohlášení</w:t>
      </w:r>
      <w:r w:rsidRPr="00A2246C">
        <w:rPr>
          <w:rFonts w:ascii="Arial" w:hAnsi="Arial" w:cs="Arial"/>
        </w:rPr>
        <w:t xml:space="preserve">.  </w:t>
      </w:r>
    </w:p>
    <w:p w14:paraId="18545A60" w14:textId="77777777" w:rsidR="004976A1" w:rsidRPr="004976A1" w:rsidRDefault="004976A1" w:rsidP="001B4F31">
      <w:pPr>
        <w:jc w:val="both"/>
        <w:rPr>
          <w:rFonts w:ascii="Arial" w:hAnsi="Arial" w:cs="Arial"/>
          <w:sz w:val="20"/>
          <w:szCs w:val="20"/>
        </w:rPr>
      </w:pPr>
    </w:p>
    <w:p w14:paraId="698A64A4" w14:textId="77777777" w:rsidR="00562E8C" w:rsidRPr="00562E8C" w:rsidRDefault="001F241A" w:rsidP="00E9421D">
      <w:pPr>
        <w:pStyle w:val="Odstavecseseznamem"/>
        <w:numPr>
          <w:ilvl w:val="0"/>
          <w:numId w:val="1"/>
        </w:numPr>
        <w:spacing w:after="120"/>
        <w:ind w:right="289"/>
        <w:jc w:val="both"/>
        <w:rPr>
          <w:rFonts w:ascii="Arial" w:hAnsi="Arial" w:cs="Arial"/>
          <w:b/>
        </w:rPr>
      </w:pPr>
      <w:r w:rsidRPr="00562E8C">
        <w:rPr>
          <w:rFonts w:ascii="Arial" w:hAnsi="Arial" w:cs="Arial"/>
          <w:b/>
        </w:rPr>
        <w:t>Doporučující objem</w:t>
      </w:r>
      <w:r w:rsidR="005D3D7D" w:rsidRPr="00562E8C">
        <w:rPr>
          <w:rFonts w:ascii="Arial" w:hAnsi="Arial" w:cs="Arial"/>
          <w:b/>
        </w:rPr>
        <w:t xml:space="preserve"> soustřeďovacího prostředku</w:t>
      </w:r>
    </w:p>
    <w:p w14:paraId="2B096CCA" w14:textId="6F59F7F5" w:rsidR="005141AB" w:rsidRPr="00562E8C" w:rsidRDefault="005141AB" w:rsidP="00562E8C">
      <w:pPr>
        <w:spacing w:after="120"/>
        <w:ind w:right="289"/>
        <w:jc w:val="both"/>
        <w:rPr>
          <w:rFonts w:ascii="Arial" w:hAnsi="Arial" w:cs="Arial"/>
        </w:rPr>
      </w:pPr>
      <w:r w:rsidRPr="00562E8C">
        <w:rPr>
          <w:rFonts w:ascii="Arial" w:hAnsi="Arial" w:cs="Arial"/>
        </w:rPr>
        <w:t xml:space="preserve">Pro potřeby dimenzování objemu </w:t>
      </w:r>
      <w:r w:rsidR="0071399F" w:rsidRPr="00562E8C">
        <w:rPr>
          <w:rFonts w:ascii="Arial" w:hAnsi="Arial" w:cs="Arial"/>
        </w:rPr>
        <w:t>soustřeďovacích prostředků</w:t>
      </w:r>
      <w:r w:rsidRPr="00562E8C">
        <w:rPr>
          <w:rFonts w:ascii="Arial" w:hAnsi="Arial" w:cs="Arial"/>
        </w:rPr>
        <w:t xml:space="preserve"> pro komunální odpad je </w:t>
      </w:r>
      <w:r w:rsidR="0071399F" w:rsidRPr="00562E8C">
        <w:rPr>
          <w:rFonts w:ascii="Arial" w:hAnsi="Arial" w:cs="Arial"/>
        </w:rPr>
        <w:t>d</w:t>
      </w:r>
      <w:r w:rsidRPr="00562E8C">
        <w:rPr>
          <w:rFonts w:ascii="Arial" w:hAnsi="Arial" w:cs="Arial"/>
        </w:rPr>
        <w:t>oporuč</w:t>
      </w:r>
      <w:r w:rsidR="0071399F" w:rsidRPr="00562E8C">
        <w:rPr>
          <w:rFonts w:ascii="Arial" w:hAnsi="Arial" w:cs="Arial"/>
        </w:rPr>
        <w:t>ující</w:t>
      </w:r>
      <w:r w:rsidRPr="00562E8C">
        <w:rPr>
          <w:rFonts w:ascii="Arial" w:hAnsi="Arial" w:cs="Arial"/>
        </w:rPr>
        <w:t xml:space="preserve"> objem na základě druhu</w:t>
      </w:r>
      <w:r w:rsidR="000E48A9" w:rsidRPr="00562E8C">
        <w:rPr>
          <w:rFonts w:ascii="Arial" w:hAnsi="Arial" w:cs="Arial"/>
        </w:rPr>
        <w:t xml:space="preserve"> nemovité věci</w:t>
      </w:r>
      <w:r w:rsidRPr="00562E8C">
        <w:rPr>
          <w:rFonts w:ascii="Arial" w:hAnsi="Arial" w:cs="Arial"/>
        </w:rPr>
        <w:t>:</w:t>
      </w:r>
    </w:p>
    <w:tbl>
      <w:tblPr>
        <w:tblW w:w="7371" w:type="dxa"/>
        <w:tblInd w:w="7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055"/>
        <w:gridCol w:w="2055"/>
      </w:tblGrid>
      <w:tr w:rsidR="00C67850" w:rsidRPr="00AA6824" w14:paraId="54575A1B" w14:textId="77777777" w:rsidTr="00C67850">
        <w:trPr>
          <w:cantSplit/>
          <w:trHeight w:val="278"/>
        </w:trPr>
        <w:tc>
          <w:tcPr>
            <w:tcW w:w="326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14:paraId="239F4E90" w14:textId="77777777" w:rsidR="00C67850" w:rsidRPr="00AA6824" w:rsidRDefault="00C67850" w:rsidP="00AA6824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AA6824">
              <w:rPr>
                <w:rFonts w:eastAsia="Times New Roman" w:cstheme="minorHAnsi"/>
                <w:b/>
                <w:bCs/>
                <w:lang w:eastAsia="cs-CZ"/>
              </w:rPr>
              <w:t xml:space="preserve">druh 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nemovité věci</w:t>
            </w:r>
          </w:p>
        </w:tc>
        <w:tc>
          <w:tcPr>
            <w:tcW w:w="41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195A13C" w14:textId="77777777" w:rsidR="00C67850" w:rsidRPr="00AA6824" w:rsidRDefault="00C67850" w:rsidP="00AA682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  <w:r w:rsidRPr="00AA6824">
              <w:rPr>
                <w:rFonts w:eastAsia="Times New Roman" w:cstheme="minorHAnsi"/>
                <w:b/>
                <w:lang w:eastAsia="cs-CZ"/>
              </w:rPr>
              <w:t>doporuč</w:t>
            </w:r>
            <w:r>
              <w:rPr>
                <w:rFonts w:eastAsia="Times New Roman" w:cstheme="minorHAnsi"/>
                <w:b/>
                <w:lang w:eastAsia="cs-CZ"/>
              </w:rPr>
              <w:t>ující</w:t>
            </w:r>
            <w:r w:rsidRPr="00AA6824">
              <w:rPr>
                <w:rFonts w:eastAsia="Times New Roman" w:cstheme="minorHAnsi"/>
                <w:b/>
                <w:lang w:eastAsia="cs-CZ"/>
              </w:rPr>
              <w:t xml:space="preserve"> dostatečný objem pro výpočet velikosti </w:t>
            </w:r>
            <w:r>
              <w:rPr>
                <w:rFonts w:eastAsia="Times New Roman" w:cstheme="minorHAnsi"/>
                <w:b/>
                <w:lang w:eastAsia="cs-CZ"/>
              </w:rPr>
              <w:t>soustřeďovacího prostředku</w:t>
            </w:r>
          </w:p>
        </w:tc>
      </w:tr>
      <w:tr w:rsidR="00C67850" w:rsidRPr="00AA6824" w14:paraId="306B66B6" w14:textId="77777777" w:rsidTr="00C67850">
        <w:trPr>
          <w:cantSplit/>
          <w:trHeight w:val="277"/>
        </w:trPr>
        <w:tc>
          <w:tcPr>
            <w:tcW w:w="326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6289972" w14:textId="77777777" w:rsidR="00C67850" w:rsidRPr="00AA6824" w:rsidRDefault="00C67850" w:rsidP="00AA6824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E9389DF" w14:textId="77777777" w:rsidR="00C67850" w:rsidRPr="00AA6824" w:rsidRDefault="00C67850" w:rsidP="00AA682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lang w:eastAsia="cs-CZ"/>
              </w:rPr>
            </w:pPr>
            <w:r w:rsidRPr="00AA6824">
              <w:rPr>
                <w:rFonts w:eastAsia="Times New Roman" w:cstheme="minorHAnsi"/>
                <w:b/>
                <w:lang w:eastAsia="cs-CZ"/>
              </w:rPr>
              <w:t>osoba a den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D1D1997" w14:textId="77777777" w:rsidR="00C67850" w:rsidRPr="00AA6824" w:rsidRDefault="00C67850" w:rsidP="00AA682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lang w:eastAsia="cs-CZ"/>
              </w:rPr>
            </w:pPr>
            <w:r w:rsidRPr="00AA6824">
              <w:rPr>
                <w:rFonts w:eastAsia="Times New Roman" w:cstheme="minorHAnsi"/>
                <w:b/>
                <w:lang w:eastAsia="cs-CZ"/>
              </w:rPr>
              <w:t>osoba a týden</w:t>
            </w:r>
          </w:p>
        </w:tc>
      </w:tr>
      <w:tr w:rsidR="00C67850" w:rsidRPr="00AA6824" w14:paraId="44890E2D" w14:textId="77777777" w:rsidTr="00C67850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3501814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A6824">
              <w:rPr>
                <w:rFonts w:eastAsia="Times New Roman" w:cstheme="minorHAnsi"/>
                <w:lang w:eastAsia="cs-CZ"/>
              </w:rPr>
              <w:t>bytové domy – sídlištní zástavba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2B88770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A6824">
              <w:rPr>
                <w:rFonts w:eastAsia="Times New Roman" w:cstheme="minorHAnsi"/>
                <w:lang w:eastAsia="cs-CZ"/>
              </w:rPr>
              <w:t xml:space="preserve">5 </w:t>
            </w:r>
            <w:proofErr w:type="gramStart"/>
            <w:r w:rsidRPr="00AA6824">
              <w:rPr>
                <w:rFonts w:eastAsia="Times New Roman" w:cstheme="minorHAnsi"/>
                <w:lang w:eastAsia="cs-CZ"/>
              </w:rPr>
              <w:t>–  7</w:t>
            </w:r>
            <w:proofErr w:type="gramEnd"/>
            <w:r w:rsidRPr="00AA6824">
              <w:rPr>
                <w:rFonts w:eastAsia="Times New Roman" w:cstheme="minorHAnsi"/>
                <w:lang w:eastAsia="cs-CZ"/>
              </w:rPr>
              <w:t xml:space="preserve"> litrů </w:t>
            </w:r>
          </w:p>
        </w:tc>
        <w:tc>
          <w:tcPr>
            <w:tcW w:w="2055" w:type="dxa"/>
            <w:tcBorders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14:paraId="0C30BB2B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AA6824">
              <w:rPr>
                <w:rFonts w:eastAsia="Times New Roman" w:cstheme="minorHAnsi"/>
                <w:lang w:eastAsia="cs-CZ"/>
              </w:rPr>
              <w:t>35 – 49</w:t>
            </w:r>
            <w:proofErr w:type="gramEnd"/>
            <w:r w:rsidRPr="00AA6824">
              <w:rPr>
                <w:rFonts w:eastAsia="Times New Roman" w:cstheme="minorHAnsi"/>
                <w:lang w:eastAsia="cs-CZ"/>
              </w:rPr>
              <w:t xml:space="preserve"> litrů</w:t>
            </w:r>
          </w:p>
        </w:tc>
      </w:tr>
      <w:tr w:rsidR="00C67850" w:rsidRPr="00AA6824" w14:paraId="17514FF6" w14:textId="77777777" w:rsidTr="00C67850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8F1BEF8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A6824">
              <w:rPr>
                <w:rFonts w:eastAsia="Times New Roman" w:cstheme="minorHAnsi"/>
                <w:lang w:eastAsia="cs-CZ"/>
              </w:rPr>
              <w:t xml:space="preserve">bytové domy – ostatní 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D381C24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AA6824">
              <w:rPr>
                <w:rFonts w:eastAsia="Times New Roman" w:cstheme="minorHAnsi"/>
                <w:lang w:eastAsia="cs-CZ"/>
              </w:rPr>
              <w:t>4 – 6</w:t>
            </w:r>
            <w:proofErr w:type="gramEnd"/>
            <w:r w:rsidRPr="00AA6824">
              <w:rPr>
                <w:rFonts w:eastAsia="Times New Roman" w:cstheme="minorHAnsi"/>
                <w:lang w:eastAsia="cs-CZ"/>
              </w:rPr>
              <w:t xml:space="preserve"> litrů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SmallGap" w:sz="12" w:space="0" w:color="C0C0C0"/>
              <w:right w:val="thickThinLargeGap" w:sz="6" w:space="0" w:color="C0C0C0"/>
            </w:tcBorders>
            <w:shd w:val="clear" w:color="auto" w:fill="auto"/>
          </w:tcPr>
          <w:p w14:paraId="7C9C6811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AA6824">
              <w:rPr>
                <w:rFonts w:eastAsia="Times New Roman" w:cstheme="minorHAnsi"/>
                <w:lang w:eastAsia="cs-CZ"/>
              </w:rPr>
              <w:t>28 – 42</w:t>
            </w:r>
            <w:proofErr w:type="gramEnd"/>
            <w:r w:rsidRPr="00AA6824">
              <w:rPr>
                <w:rFonts w:eastAsia="Times New Roman" w:cstheme="minorHAnsi"/>
                <w:lang w:eastAsia="cs-CZ"/>
              </w:rPr>
              <w:t xml:space="preserve"> litrů</w:t>
            </w:r>
          </w:p>
        </w:tc>
      </w:tr>
      <w:tr w:rsidR="00C67850" w:rsidRPr="00AA6824" w14:paraId="303B961F" w14:textId="77777777" w:rsidTr="00C67850">
        <w:trPr>
          <w:cantSplit/>
          <w:trHeight w:val="290"/>
        </w:trPr>
        <w:tc>
          <w:tcPr>
            <w:tcW w:w="3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575468B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A6824">
              <w:rPr>
                <w:rFonts w:eastAsia="Times New Roman" w:cstheme="minorHAnsi"/>
                <w:lang w:eastAsia="cs-CZ"/>
              </w:rPr>
              <w:t>rodinné domy</w:t>
            </w:r>
          </w:p>
        </w:tc>
        <w:tc>
          <w:tcPr>
            <w:tcW w:w="2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20027D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A6824">
              <w:rPr>
                <w:rFonts w:eastAsia="Times New Roman" w:cstheme="minorHAnsi"/>
                <w:lang w:eastAsia="cs-CZ"/>
              </w:rPr>
              <w:t xml:space="preserve">4 litry </w:t>
            </w:r>
          </w:p>
        </w:tc>
        <w:tc>
          <w:tcPr>
            <w:tcW w:w="2055" w:type="dxa"/>
            <w:tcBorders>
              <w:top w:val="thickThinSmallGap" w:sz="12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0C2D88" w14:textId="77777777" w:rsidR="00C67850" w:rsidRPr="00AA6824" w:rsidRDefault="00C67850" w:rsidP="00AA68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A6824">
              <w:rPr>
                <w:rFonts w:eastAsia="Times New Roman" w:cstheme="minorHAnsi"/>
                <w:lang w:eastAsia="cs-CZ"/>
              </w:rPr>
              <w:t xml:space="preserve">28 litrů </w:t>
            </w:r>
          </w:p>
        </w:tc>
      </w:tr>
    </w:tbl>
    <w:p w14:paraId="4BEFCC9B" w14:textId="77777777" w:rsidR="00AC01B6" w:rsidRPr="001F241A" w:rsidRDefault="00AC01B6" w:rsidP="001F241A">
      <w:pPr>
        <w:rPr>
          <w:rFonts w:ascii="Arial" w:hAnsi="Arial" w:cs="Arial"/>
        </w:rPr>
      </w:pPr>
    </w:p>
    <w:p w14:paraId="4B26ECEE" w14:textId="51893F79" w:rsidR="00F54AE4" w:rsidRDefault="00F54AE4" w:rsidP="00B86888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Období svozu</w:t>
      </w:r>
    </w:p>
    <w:p w14:paraId="1954DBF4" w14:textId="4DBE5B4F" w:rsidR="00F54AE4" w:rsidRDefault="00FB1B6E" w:rsidP="00495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poplatku si může objednat kapacitu soustřeďovacího prostředku na odpad </w:t>
      </w:r>
      <w:r w:rsidR="00C84B43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 xml:space="preserve">pouze sezónně, tj. na určitou část zdaňovacího období (např. letní měsíce kalendářního roku), po kterou předpokládá, že bude </w:t>
      </w:r>
      <w:r w:rsidR="00C84B43">
        <w:rPr>
          <w:rFonts w:ascii="Arial" w:hAnsi="Arial" w:cs="Arial"/>
        </w:rPr>
        <w:t>u předmětné nemovité věci produkovat odpad. V </w:t>
      </w:r>
      <w:r w:rsidR="00E56687">
        <w:rPr>
          <w:rFonts w:ascii="Arial" w:hAnsi="Arial" w:cs="Arial"/>
        </w:rPr>
        <w:t>o</w:t>
      </w:r>
      <w:r w:rsidR="00C84B43">
        <w:rPr>
          <w:rFonts w:ascii="Arial" w:hAnsi="Arial" w:cs="Arial"/>
        </w:rPr>
        <w:t xml:space="preserve">hlášení plátce poplatku </w:t>
      </w:r>
      <w:r w:rsidR="00E56687">
        <w:rPr>
          <w:rFonts w:ascii="Arial" w:hAnsi="Arial" w:cs="Arial"/>
        </w:rPr>
        <w:t xml:space="preserve">výčet požadovaných kalendářních měsíců </w:t>
      </w:r>
      <w:r w:rsidR="00C84B43">
        <w:rPr>
          <w:rFonts w:ascii="Arial" w:hAnsi="Arial" w:cs="Arial"/>
        </w:rPr>
        <w:t>označí křížkem.</w:t>
      </w:r>
      <w:r w:rsidR="00BB32D5">
        <w:rPr>
          <w:rFonts w:ascii="Arial" w:hAnsi="Arial" w:cs="Arial"/>
        </w:rPr>
        <w:t xml:space="preserve"> Pokud nebude označen křížkem žádný měsíc, bude automaticky</w:t>
      </w:r>
      <w:r w:rsidR="00E33BDA">
        <w:rPr>
          <w:rFonts w:ascii="Arial" w:hAnsi="Arial" w:cs="Arial"/>
        </w:rPr>
        <w:t xml:space="preserve"> období</w:t>
      </w:r>
      <w:r w:rsidR="00145D93">
        <w:rPr>
          <w:rFonts w:ascii="Arial" w:hAnsi="Arial" w:cs="Arial"/>
        </w:rPr>
        <w:t xml:space="preserve"> svozu</w:t>
      </w:r>
      <w:r w:rsidR="00E33BDA">
        <w:rPr>
          <w:rFonts w:ascii="Arial" w:hAnsi="Arial" w:cs="Arial"/>
        </w:rPr>
        <w:t xml:space="preserve"> celý </w:t>
      </w:r>
      <w:r w:rsidR="00145D93">
        <w:rPr>
          <w:rFonts w:ascii="Arial" w:hAnsi="Arial" w:cs="Arial"/>
        </w:rPr>
        <w:t xml:space="preserve">kalendářní </w:t>
      </w:r>
      <w:r w:rsidR="00E33BDA">
        <w:rPr>
          <w:rFonts w:ascii="Arial" w:hAnsi="Arial" w:cs="Arial"/>
        </w:rPr>
        <w:t xml:space="preserve">rok. </w:t>
      </w:r>
    </w:p>
    <w:p w14:paraId="49892E0D" w14:textId="457F993F" w:rsidR="001F241A" w:rsidRPr="00A2246C" w:rsidRDefault="001F241A" w:rsidP="00B86888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Placení místního poplatku</w:t>
      </w:r>
    </w:p>
    <w:p w14:paraId="2EB87719" w14:textId="77777777" w:rsidR="004E66BD" w:rsidRDefault="004016AA" w:rsidP="004C423B">
      <w:pPr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>Číslo účtu</w:t>
      </w:r>
      <w:r w:rsidR="00CE7D73" w:rsidRPr="00A2246C">
        <w:rPr>
          <w:rFonts w:ascii="Arial" w:hAnsi="Arial" w:cs="Arial"/>
        </w:rPr>
        <w:t xml:space="preserve"> statutárního města Plzně </w:t>
      </w:r>
      <w:r w:rsidR="002F5FDD">
        <w:rPr>
          <w:rFonts w:ascii="Arial" w:hAnsi="Arial" w:cs="Arial"/>
        </w:rPr>
        <w:t xml:space="preserve">vedeného u Komerční banky, a.s. </w:t>
      </w:r>
      <w:r w:rsidR="00CE7D73" w:rsidRPr="00A2246C">
        <w:rPr>
          <w:rFonts w:ascii="Arial" w:hAnsi="Arial" w:cs="Arial"/>
        </w:rPr>
        <w:t>pro</w:t>
      </w:r>
      <w:r w:rsidR="00B47619">
        <w:rPr>
          <w:rFonts w:ascii="Arial" w:hAnsi="Arial" w:cs="Arial"/>
        </w:rPr>
        <w:t xml:space="preserve"> </w:t>
      </w:r>
      <w:r w:rsidR="00CE7D73" w:rsidRPr="00A2246C">
        <w:rPr>
          <w:rFonts w:ascii="Arial" w:hAnsi="Arial" w:cs="Arial"/>
        </w:rPr>
        <w:t>platbu místního poplatku</w:t>
      </w:r>
      <w:r w:rsidR="002F5FDD">
        <w:rPr>
          <w:rFonts w:ascii="Arial" w:hAnsi="Arial" w:cs="Arial"/>
        </w:rPr>
        <w:t xml:space="preserve"> je </w:t>
      </w:r>
      <w:r w:rsidR="00B314FF" w:rsidRPr="002F5FDD">
        <w:rPr>
          <w:rFonts w:ascii="Arial" w:hAnsi="Arial" w:cs="Arial"/>
          <w:b/>
        </w:rPr>
        <w:t>19-1120311/0100</w:t>
      </w:r>
      <w:r w:rsidR="002F5FDD">
        <w:rPr>
          <w:rFonts w:ascii="Arial" w:hAnsi="Arial" w:cs="Arial"/>
        </w:rPr>
        <w:t>.</w:t>
      </w:r>
    </w:p>
    <w:p w14:paraId="75BDD3C5" w14:textId="6450B049" w:rsidR="0060667B" w:rsidRDefault="00C97DD7" w:rsidP="00C97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E7D73" w:rsidRPr="00A2246C">
        <w:rPr>
          <w:rFonts w:ascii="Arial" w:hAnsi="Arial" w:cs="Arial"/>
        </w:rPr>
        <w:t>aždá platba je identifi</w:t>
      </w:r>
      <w:r w:rsidR="00AC407C">
        <w:rPr>
          <w:rFonts w:ascii="Arial" w:hAnsi="Arial" w:cs="Arial"/>
        </w:rPr>
        <w:t>k</w:t>
      </w:r>
      <w:r w:rsidR="00CE7D73" w:rsidRPr="00A2246C">
        <w:rPr>
          <w:rFonts w:ascii="Arial" w:hAnsi="Arial" w:cs="Arial"/>
        </w:rPr>
        <w:t xml:space="preserve">ována </w:t>
      </w:r>
      <w:r w:rsidR="00C765C0" w:rsidRPr="00A2246C">
        <w:rPr>
          <w:rFonts w:ascii="Arial" w:hAnsi="Arial" w:cs="Arial"/>
        </w:rPr>
        <w:t>přidělený</w:t>
      </w:r>
      <w:r w:rsidR="00CE7D73" w:rsidRPr="00A2246C">
        <w:rPr>
          <w:rFonts w:ascii="Arial" w:hAnsi="Arial" w:cs="Arial"/>
        </w:rPr>
        <w:t>m</w:t>
      </w:r>
      <w:r w:rsidR="00C765C0" w:rsidRPr="00A22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variabilním symbolem (</w:t>
      </w:r>
      <w:r w:rsidR="004016AA" w:rsidRPr="00A2246C">
        <w:rPr>
          <w:rFonts w:ascii="Arial" w:hAnsi="Arial" w:cs="Arial"/>
        </w:rPr>
        <w:t>VS</w:t>
      </w:r>
      <w:r>
        <w:rPr>
          <w:rFonts w:ascii="Arial" w:hAnsi="Arial" w:cs="Arial"/>
        </w:rPr>
        <w:t xml:space="preserve">). </w:t>
      </w:r>
      <w:r w:rsidRPr="00C97DD7">
        <w:rPr>
          <w:rFonts w:ascii="Arial" w:hAnsi="Arial" w:cs="Arial"/>
          <w:shd w:val="clear" w:color="auto" w:fill="FFFFFF"/>
        </w:rPr>
        <w:t xml:space="preserve">Variabilní symbol přiděluje správce poplatku po přijetí </w:t>
      </w:r>
      <w:r w:rsidR="001815CF">
        <w:rPr>
          <w:rFonts w:ascii="Arial" w:hAnsi="Arial" w:cs="Arial"/>
          <w:shd w:val="clear" w:color="auto" w:fill="FFFFFF"/>
        </w:rPr>
        <w:t>o</w:t>
      </w:r>
      <w:r w:rsidRPr="00C97DD7">
        <w:rPr>
          <w:rFonts w:ascii="Arial" w:hAnsi="Arial" w:cs="Arial"/>
          <w:shd w:val="clear" w:color="auto" w:fill="FFFFFF"/>
        </w:rPr>
        <w:t xml:space="preserve">hlášení plátce poplatku. </w:t>
      </w:r>
      <w:r w:rsidRPr="00C97DD7">
        <w:rPr>
          <w:rFonts w:ascii="Arial" w:hAnsi="Arial" w:cs="Arial"/>
        </w:rPr>
        <w:t xml:space="preserve"> </w:t>
      </w:r>
    </w:p>
    <w:p w14:paraId="0E7216AB" w14:textId="77777777" w:rsidR="0060667B" w:rsidRDefault="0060667B" w:rsidP="00C97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poplatku zasílá</w:t>
      </w:r>
      <w:r w:rsidR="00FE2EC5">
        <w:rPr>
          <w:rFonts w:ascii="Arial" w:hAnsi="Arial" w:cs="Arial"/>
        </w:rPr>
        <w:t xml:space="preserve"> avízo k platbě místního poplatku formou </w:t>
      </w:r>
      <w:r w:rsidR="009E4820">
        <w:rPr>
          <w:rFonts w:ascii="Arial" w:hAnsi="Arial" w:cs="Arial"/>
        </w:rPr>
        <w:t>poštovní poukázky (složenky)</w:t>
      </w:r>
      <w:r w:rsidR="00FE2EC5">
        <w:rPr>
          <w:rFonts w:ascii="Arial" w:hAnsi="Arial" w:cs="Arial"/>
        </w:rPr>
        <w:t xml:space="preserve"> adresované každému plátci samostatně. Každý plátce poplatku může na základě podané žádosti komunikovat se správcem poplatku elektronicky.</w:t>
      </w:r>
    </w:p>
    <w:p w14:paraId="49DC5964" w14:textId="77777777" w:rsidR="00192C33" w:rsidRPr="00C97DD7" w:rsidRDefault="00C765C0" w:rsidP="00C97DD7">
      <w:pPr>
        <w:jc w:val="both"/>
        <w:rPr>
          <w:rFonts w:ascii="Arial" w:hAnsi="Arial" w:cs="Arial"/>
        </w:rPr>
      </w:pPr>
      <w:r w:rsidRPr="00C97DD7">
        <w:rPr>
          <w:rFonts w:ascii="Arial" w:hAnsi="Arial" w:cs="Arial"/>
        </w:rPr>
        <w:t xml:space="preserve"> </w:t>
      </w:r>
    </w:p>
    <w:p w14:paraId="255E1ECE" w14:textId="77777777" w:rsidR="000824D1" w:rsidRDefault="000824D1" w:rsidP="00126BF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Navýšení poplatku</w:t>
      </w:r>
    </w:p>
    <w:p w14:paraId="26D097A2" w14:textId="77777777" w:rsidR="000824D1" w:rsidRDefault="000824D1" w:rsidP="000824D1">
      <w:pPr>
        <w:pStyle w:val="Odstavecseseznamem"/>
        <w:rPr>
          <w:rFonts w:ascii="Arial" w:hAnsi="Arial" w:cs="Arial"/>
          <w:b/>
        </w:rPr>
      </w:pPr>
    </w:p>
    <w:p w14:paraId="2B55F0AD" w14:textId="7C80EB60" w:rsidR="000824D1" w:rsidRPr="000824D1" w:rsidRDefault="000824D1" w:rsidP="009A4DD3">
      <w:pPr>
        <w:pStyle w:val="Odstavecseseznamem"/>
        <w:ind w:left="0"/>
        <w:jc w:val="both"/>
        <w:rPr>
          <w:rFonts w:ascii="Arial" w:hAnsi="Arial" w:cs="Arial"/>
          <w:bCs/>
        </w:rPr>
      </w:pPr>
      <w:r w:rsidRPr="000824D1">
        <w:rPr>
          <w:rFonts w:ascii="Arial" w:hAnsi="Arial" w:cs="Arial"/>
          <w:bCs/>
        </w:rPr>
        <w:t>Nebudou-li poplatky zaplaceny poplatníkem včas nebo ve správné výši, vyměří mu správce poplatku poplatek platebním výměre</w:t>
      </w:r>
      <w:r w:rsidR="009A4DD3">
        <w:rPr>
          <w:rFonts w:ascii="Arial" w:hAnsi="Arial" w:cs="Arial"/>
          <w:bCs/>
        </w:rPr>
        <w:t>m. V</w:t>
      </w:r>
      <w:r w:rsidRPr="000824D1">
        <w:rPr>
          <w:rFonts w:ascii="Arial" w:hAnsi="Arial" w:cs="Arial"/>
          <w:bCs/>
        </w:rPr>
        <w:t>čas nezaplacené nebo neodvedené poplatky nebo část těchto poplatků může správce poplatku zvýšit až na trojnásobek; toto zvýšení je příslušenstvím poplatku sledujícím jeho osud.</w:t>
      </w:r>
    </w:p>
    <w:p w14:paraId="1AFEF9FC" w14:textId="77777777" w:rsidR="000824D1" w:rsidRPr="004976A1" w:rsidRDefault="000824D1" w:rsidP="000824D1">
      <w:pPr>
        <w:pStyle w:val="Odstavecseseznamem"/>
        <w:ind w:left="0"/>
        <w:rPr>
          <w:rFonts w:ascii="Arial" w:hAnsi="Arial" w:cs="Arial"/>
          <w:bCs/>
          <w:sz w:val="20"/>
          <w:szCs w:val="20"/>
        </w:rPr>
      </w:pPr>
    </w:p>
    <w:p w14:paraId="42C909EB" w14:textId="77777777" w:rsidR="000824D1" w:rsidRDefault="000824D1" w:rsidP="000824D1">
      <w:pPr>
        <w:pStyle w:val="Odstavecseseznamem"/>
        <w:rPr>
          <w:rFonts w:ascii="Arial" w:hAnsi="Arial" w:cs="Arial"/>
          <w:b/>
        </w:rPr>
      </w:pPr>
    </w:p>
    <w:p w14:paraId="358E6040" w14:textId="77777777" w:rsidR="002845B8" w:rsidRDefault="00126BFD" w:rsidP="00126BF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2246C">
        <w:rPr>
          <w:rFonts w:ascii="Arial" w:hAnsi="Arial" w:cs="Arial"/>
          <w:b/>
        </w:rPr>
        <w:t xml:space="preserve">Daňová </w:t>
      </w:r>
      <w:r w:rsidR="00FC27A9" w:rsidRPr="00A2246C">
        <w:rPr>
          <w:rFonts w:ascii="Arial" w:hAnsi="Arial" w:cs="Arial"/>
          <w:b/>
        </w:rPr>
        <w:t xml:space="preserve">informační </w:t>
      </w:r>
      <w:r w:rsidRPr="00A2246C">
        <w:rPr>
          <w:rFonts w:ascii="Arial" w:hAnsi="Arial" w:cs="Arial"/>
          <w:b/>
        </w:rPr>
        <w:t>schránka</w:t>
      </w:r>
      <w:r w:rsidR="00DC15E3" w:rsidRPr="00A2246C">
        <w:rPr>
          <w:rFonts w:ascii="Arial" w:hAnsi="Arial" w:cs="Arial"/>
          <w:b/>
        </w:rPr>
        <w:t xml:space="preserve"> (DIS)</w:t>
      </w:r>
      <w:r w:rsidR="00754629">
        <w:rPr>
          <w:rFonts w:ascii="Arial" w:hAnsi="Arial" w:cs="Arial"/>
          <w:b/>
        </w:rPr>
        <w:t xml:space="preserve"> </w:t>
      </w:r>
    </w:p>
    <w:p w14:paraId="320F55F6" w14:textId="44466C20" w:rsidR="00856AF5" w:rsidRDefault="00754629" w:rsidP="00AA413C">
      <w:pPr>
        <w:jc w:val="both"/>
        <w:rPr>
          <w:rFonts w:ascii="Arial" w:hAnsi="Arial" w:cs="Arial"/>
        </w:rPr>
      </w:pPr>
      <w:r w:rsidRPr="00754629">
        <w:rPr>
          <w:rFonts w:ascii="Arial" w:hAnsi="Arial" w:cs="Arial"/>
          <w:bCs/>
        </w:rPr>
        <w:t>Správce poplatku</w:t>
      </w:r>
      <w:r w:rsidR="00AC407C">
        <w:rPr>
          <w:rFonts w:ascii="Arial" w:hAnsi="Arial" w:cs="Arial"/>
          <w:bCs/>
        </w:rPr>
        <w:t xml:space="preserve"> pomocí aplikace </w:t>
      </w:r>
      <w:r w:rsidR="00CB695B">
        <w:rPr>
          <w:rFonts w:ascii="Arial" w:hAnsi="Arial" w:cs="Arial"/>
          <w:bCs/>
        </w:rPr>
        <w:t>EPO</w:t>
      </w:r>
      <w:r w:rsidR="00AC407C">
        <w:rPr>
          <w:rFonts w:ascii="Arial" w:hAnsi="Arial" w:cs="Arial"/>
          <w:bCs/>
        </w:rPr>
        <w:t xml:space="preserve"> poskytuje podle § 69 zákona č. 280/2009 Sb., daňový řád, ve znění pozdějších předpisů, vybrané informace shromá</w:t>
      </w:r>
      <w:r w:rsidR="00DD6745">
        <w:rPr>
          <w:rFonts w:ascii="Arial" w:hAnsi="Arial" w:cs="Arial"/>
          <w:bCs/>
        </w:rPr>
        <w:t>žděné ve spisu a na osobním daňovém účtu místního poplatku. Data jsou poskytována pouze evidovaným</w:t>
      </w:r>
      <w:r w:rsidR="00C81643">
        <w:rPr>
          <w:rFonts w:ascii="Arial" w:hAnsi="Arial" w:cs="Arial"/>
          <w:bCs/>
        </w:rPr>
        <w:t xml:space="preserve"> plátcům</w:t>
      </w:r>
      <w:r w:rsidR="00DD6745">
        <w:rPr>
          <w:rFonts w:ascii="Arial" w:hAnsi="Arial" w:cs="Arial"/>
          <w:bCs/>
        </w:rPr>
        <w:t xml:space="preserve">. </w:t>
      </w:r>
      <w:r w:rsidR="00DD6745" w:rsidRPr="00AA413C">
        <w:rPr>
          <w:rFonts w:ascii="Arial" w:hAnsi="Arial" w:cs="Arial"/>
          <w:bCs/>
        </w:rPr>
        <w:t xml:space="preserve">DIS </w:t>
      </w:r>
      <w:r w:rsidR="00537253" w:rsidRPr="00AA413C">
        <w:rPr>
          <w:rFonts w:ascii="Arial" w:hAnsi="Arial" w:cs="Arial"/>
          <w:bCs/>
        </w:rPr>
        <w:t>prostřednictvím dálkového přístupu zobrazuje autentizovaným poplatkovým subjektům informace v</w:t>
      </w:r>
      <w:r w:rsidR="00220F60">
        <w:rPr>
          <w:rFonts w:ascii="Arial" w:hAnsi="Arial" w:cs="Arial"/>
          <w:bCs/>
        </w:rPr>
        <w:t>e</w:t>
      </w:r>
      <w:r w:rsidR="00537253" w:rsidRPr="00AA413C">
        <w:rPr>
          <w:rFonts w:ascii="Arial" w:hAnsi="Arial" w:cs="Arial"/>
          <w:bCs/>
        </w:rPr>
        <w:t> členění podle jednotlivých</w:t>
      </w:r>
      <w:r w:rsidR="002558D0">
        <w:rPr>
          <w:rFonts w:ascii="Arial" w:hAnsi="Arial" w:cs="Arial"/>
          <w:bCs/>
        </w:rPr>
        <w:t xml:space="preserve"> agen</w:t>
      </w:r>
      <w:r w:rsidR="00C81643">
        <w:rPr>
          <w:rFonts w:ascii="Arial" w:hAnsi="Arial" w:cs="Arial"/>
          <w:bCs/>
        </w:rPr>
        <w:t>d</w:t>
      </w:r>
      <w:r w:rsidRPr="00AA413C">
        <w:rPr>
          <w:rFonts w:ascii="Arial" w:hAnsi="Arial" w:cs="Arial"/>
        </w:rPr>
        <w:t>.</w:t>
      </w:r>
      <w:r w:rsidRPr="00754629">
        <w:rPr>
          <w:rFonts w:ascii="Arial" w:hAnsi="Arial" w:cs="Arial"/>
        </w:rPr>
        <w:t xml:space="preserve"> </w:t>
      </w:r>
      <w:r w:rsidR="00856AF5" w:rsidRPr="00AA413C">
        <w:rPr>
          <w:rFonts w:ascii="Arial" w:hAnsi="Arial" w:cs="Arial"/>
        </w:rPr>
        <w:t xml:space="preserve">Přihlášení fyzické osoby </w:t>
      </w:r>
      <w:r w:rsidR="007B0502">
        <w:rPr>
          <w:rFonts w:ascii="Arial" w:hAnsi="Arial" w:cs="Arial"/>
        </w:rPr>
        <w:t xml:space="preserve">je možné </w:t>
      </w:r>
      <w:r w:rsidR="004442C1">
        <w:rPr>
          <w:rFonts w:ascii="Arial" w:hAnsi="Arial" w:cs="Arial"/>
        </w:rPr>
        <w:t>pouze</w:t>
      </w:r>
      <w:r w:rsidR="00856AF5" w:rsidRPr="00AA413C">
        <w:rPr>
          <w:rFonts w:ascii="Arial" w:hAnsi="Arial" w:cs="Arial"/>
        </w:rPr>
        <w:t xml:space="preserve"> prostřednictvím </w:t>
      </w:r>
      <w:proofErr w:type="spellStart"/>
      <w:r w:rsidR="00856AF5" w:rsidRPr="00AA413C">
        <w:rPr>
          <w:rFonts w:ascii="Arial" w:hAnsi="Arial" w:cs="Arial"/>
        </w:rPr>
        <w:t>eIdentita</w:t>
      </w:r>
      <w:proofErr w:type="spellEnd"/>
      <w:r w:rsidR="00856AF5" w:rsidRPr="00AA413C">
        <w:rPr>
          <w:rFonts w:ascii="Arial" w:hAnsi="Arial" w:cs="Arial"/>
        </w:rPr>
        <w:t xml:space="preserve"> (</w:t>
      </w:r>
      <w:proofErr w:type="spellStart"/>
      <w:r w:rsidR="00856AF5" w:rsidRPr="00AA413C">
        <w:rPr>
          <w:rFonts w:ascii="Arial" w:hAnsi="Arial" w:cs="Arial"/>
        </w:rPr>
        <w:t>eIdentita</w:t>
      </w:r>
      <w:proofErr w:type="spellEnd"/>
      <w:r w:rsidR="00856AF5" w:rsidRPr="00AA413C">
        <w:rPr>
          <w:rFonts w:ascii="Arial" w:hAnsi="Arial" w:cs="Arial"/>
        </w:rPr>
        <w:t xml:space="preserve"> vždy ověřuje totožnost výhradě fyzické osoby)</w:t>
      </w:r>
      <w:r w:rsidR="00AA413C">
        <w:rPr>
          <w:rFonts w:ascii="Arial" w:hAnsi="Arial" w:cs="Arial"/>
        </w:rPr>
        <w:t xml:space="preserve">. </w:t>
      </w:r>
      <w:r w:rsidR="00856AF5" w:rsidRPr="00AA413C">
        <w:rPr>
          <w:rFonts w:ascii="Arial" w:hAnsi="Arial" w:cs="Arial"/>
        </w:rPr>
        <w:t xml:space="preserve">Přihlášení podnikající nebo právnické osoby </w:t>
      </w:r>
      <w:r w:rsidR="007B0502">
        <w:rPr>
          <w:rFonts w:ascii="Arial" w:hAnsi="Arial" w:cs="Arial"/>
        </w:rPr>
        <w:t xml:space="preserve">je možné </w:t>
      </w:r>
      <w:r w:rsidR="004442C1">
        <w:rPr>
          <w:rFonts w:ascii="Arial" w:hAnsi="Arial" w:cs="Arial"/>
        </w:rPr>
        <w:t>pouze</w:t>
      </w:r>
      <w:r w:rsidR="00856AF5" w:rsidRPr="00AA413C">
        <w:rPr>
          <w:rFonts w:ascii="Arial" w:hAnsi="Arial" w:cs="Arial"/>
        </w:rPr>
        <w:t xml:space="preserve"> prostřednictvím datové schránky (musí se přihlásit oprávněná osoba, typ schránky musí být právnická osoba nebo podnikatel).</w:t>
      </w:r>
    </w:p>
    <w:p w14:paraId="116188A0" w14:textId="77777777" w:rsidR="0071399F" w:rsidRPr="004976A1" w:rsidRDefault="0071399F" w:rsidP="00AA413C">
      <w:pPr>
        <w:jc w:val="both"/>
        <w:rPr>
          <w:rFonts w:ascii="Arial" w:hAnsi="Arial" w:cs="Arial"/>
          <w:sz w:val="20"/>
          <w:szCs w:val="20"/>
        </w:rPr>
      </w:pPr>
    </w:p>
    <w:p w14:paraId="65C315D3" w14:textId="77777777" w:rsidR="00754629" w:rsidRPr="00A2246C" w:rsidRDefault="00754629" w:rsidP="00126BF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Elektronické podání občana (EPO)</w:t>
      </w:r>
    </w:p>
    <w:p w14:paraId="0829263C" w14:textId="7DC74302" w:rsidR="00754629" w:rsidRDefault="0078673A" w:rsidP="009A0600">
      <w:pPr>
        <w:jc w:val="both"/>
        <w:rPr>
          <w:rFonts w:ascii="Arial" w:hAnsi="Arial" w:cs="Arial"/>
        </w:rPr>
      </w:pPr>
      <w:r w:rsidRPr="00A2246C">
        <w:rPr>
          <w:rFonts w:ascii="Arial" w:hAnsi="Arial" w:cs="Arial"/>
        </w:rPr>
        <w:t>Správce poplatku prostřednictvím Elektronic</w:t>
      </w:r>
      <w:r w:rsidR="00D820BA">
        <w:rPr>
          <w:rFonts w:ascii="Arial" w:hAnsi="Arial" w:cs="Arial"/>
        </w:rPr>
        <w:t>k</w:t>
      </w:r>
      <w:r w:rsidRPr="00A2246C">
        <w:rPr>
          <w:rFonts w:ascii="Arial" w:hAnsi="Arial" w:cs="Arial"/>
        </w:rPr>
        <w:t>ého podání občana (EPO)</w:t>
      </w:r>
      <w:r w:rsidR="00E2412A">
        <w:rPr>
          <w:rFonts w:ascii="Arial" w:hAnsi="Arial" w:cs="Arial"/>
        </w:rPr>
        <w:t xml:space="preserve"> </w:t>
      </w:r>
      <w:hyperlink r:id="rId6" w:history="1">
        <w:r w:rsidR="00E2412A" w:rsidRPr="005D7610">
          <w:rPr>
            <w:rStyle w:val="Hypertextovodkaz"/>
            <w:rFonts w:ascii="Arial" w:hAnsi="Arial" w:cs="Arial"/>
          </w:rPr>
          <w:t>www.epo.plzen.eu</w:t>
        </w:r>
      </w:hyperlink>
      <w:r w:rsidR="00E2412A">
        <w:rPr>
          <w:rFonts w:ascii="Arial" w:hAnsi="Arial" w:cs="Arial"/>
        </w:rPr>
        <w:t xml:space="preserve"> </w:t>
      </w:r>
      <w:r w:rsidRPr="00A2246C">
        <w:rPr>
          <w:rFonts w:ascii="Arial" w:hAnsi="Arial" w:cs="Arial"/>
        </w:rPr>
        <w:t xml:space="preserve"> umožňuje</w:t>
      </w:r>
      <w:r w:rsidR="00AA413C">
        <w:rPr>
          <w:rFonts w:ascii="Arial" w:hAnsi="Arial" w:cs="Arial"/>
        </w:rPr>
        <w:t xml:space="preserve"> online podání </w:t>
      </w:r>
      <w:r w:rsidRPr="00A2246C">
        <w:rPr>
          <w:rFonts w:ascii="Arial" w:hAnsi="Arial" w:cs="Arial"/>
        </w:rPr>
        <w:t>ohlášení plátce</w:t>
      </w:r>
      <w:r w:rsidR="006B0ECA">
        <w:rPr>
          <w:rFonts w:ascii="Arial" w:hAnsi="Arial" w:cs="Arial"/>
        </w:rPr>
        <w:t>,</w:t>
      </w:r>
      <w:r w:rsidRPr="00A2246C">
        <w:rPr>
          <w:rFonts w:ascii="Arial" w:hAnsi="Arial" w:cs="Arial"/>
        </w:rPr>
        <w:t xml:space="preserve"> žádost o elektronickou komunikaci</w:t>
      </w:r>
      <w:r w:rsidR="006B0ECA">
        <w:rPr>
          <w:rFonts w:ascii="Arial" w:hAnsi="Arial" w:cs="Arial"/>
        </w:rPr>
        <w:t xml:space="preserve"> a veškeré formuláře.</w:t>
      </w:r>
    </w:p>
    <w:p w14:paraId="6062A3B4" w14:textId="77777777" w:rsidR="006B0ECA" w:rsidRDefault="006B0ECA" w:rsidP="009A0600">
      <w:pPr>
        <w:jc w:val="both"/>
        <w:rPr>
          <w:rFonts w:ascii="Arial" w:hAnsi="Arial" w:cs="Arial"/>
        </w:rPr>
      </w:pPr>
    </w:p>
    <w:p w14:paraId="2DAC7276" w14:textId="77777777" w:rsidR="00754629" w:rsidRPr="00754629" w:rsidRDefault="00754629" w:rsidP="00754629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Přechodné ustanovení</w:t>
      </w:r>
    </w:p>
    <w:p w14:paraId="4BAFE837" w14:textId="31447176" w:rsidR="0078673A" w:rsidRPr="000C13EE" w:rsidRDefault="00E94B7E" w:rsidP="009A0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</w:t>
      </w:r>
      <w:r w:rsidR="00C56630">
        <w:rPr>
          <w:rFonts w:ascii="Arial" w:hAnsi="Arial" w:cs="Arial"/>
        </w:rPr>
        <w:t> přechodn</w:t>
      </w:r>
      <w:r>
        <w:rPr>
          <w:rFonts w:ascii="Arial" w:hAnsi="Arial" w:cs="Arial"/>
        </w:rPr>
        <w:t>ého</w:t>
      </w:r>
      <w:r w:rsidR="00C56630">
        <w:rPr>
          <w:rFonts w:ascii="Arial" w:hAnsi="Arial" w:cs="Arial"/>
        </w:rPr>
        <w:t xml:space="preserve"> ustanovení vyhlášky</w:t>
      </w:r>
      <w:r w:rsidR="00B214AD">
        <w:rPr>
          <w:rFonts w:ascii="Arial" w:hAnsi="Arial" w:cs="Arial"/>
        </w:rPr>
        <w:t xml:space="preserve">: </w:t>
      </w:r>
    </w:p>
    <w:p w14:paraId="366C6D88" w14:textId="77777777" w:rsidR="001779D9" w:rsidRDefault="00B214AD" w:rsidP="00B214AD">
      <w:p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B5BA6" w:rsidRPr="00FB5BA6">
        <w:rPr>
          <w:rFonts w:ascii="Arial" w:hAnsi="Arial" w:cs="Arial"/>
        </w:rPr>
        <w:t xml:space="preserve">Plátci poplatku za komunální odpad dle dosavadních právních předpisů registrovaní </w:t>
      </w:r>
      <w:r w:rsidR="00682285">
        <w:rPr>
          <w:rFonts w:ascii="Arial" w:hAnsi="Arial" w:cs="Arial"/>
        </w:rPr>
        <w:t xml:space="preserve">                             </w:t>
      </w:r>
      <w:r w:rsidR="00FB5BA6" w:rsidRPr="00FB5BA6">
        <w:rPr>
          <w:rFonts w:ascii="Arial" w:hAnsi="Arial" w:cs="Arial"/>
        </w:rPr>
        <w:t xml:space="preserve">u správce poplatku k 31.12.2021 se považují za plátce poplatku dle této vyhlášky </w:t>
      </w:r>
      <w:r w:rsidR="00FB5BA6">
        <w:rPr>
          <w:rFonts w:ascii="Arial" w:hAnsi="Arial" w:cs="Arial"/>
        </w:rPr>
        <w:t>a</w:t>
      </w:r>
      <w:r w:rsidR="00FB5BA6" w:rsidRPr="00FB5BA6">
        <w:rPr>
          <w:rFonts w:ascii="Arial" w:hAnsi="Arial" w:cs="Arial"/>
        </w:rPr>
        <w:t xml:space="preserve"> nemají povinnost splnit ohlašovací povinnost dle první věty čl. 4 odst. 1 této vyhlášky.</w:t>
      </w:r>
      <w:r>
        <w:rPr>
          <w:rFonts w:ascii="Arial" w:hAnsi="Arial" w:cs="Arial"/>
        </w:rPr>
        <w:t>“</w:t>
      </w:r>
    </w:p>
    <w:p w14:paraId="78B2D54B" w14:textId="1049B6C5" w:rsidR="00DE6FAA" w:rsidRDefault="0075257E" w:rsidP="00B214AD">
      <w:p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94B7E">
        <w:rPr>
          <w:rFonts w:ascii="Arial" w:hAnsi="Arial" w:cs="Arial"/>
        </w:rPr>
        <w:t xml:space="preserve">právce poplatku </w:t>
      </w:r>
      <w:r w:rsidR="00B214AD" w:rsidRPr="003405CD">
        <w:rPr>
          <w:rFonts w:ascii="Arial" w:hAnsi="Arial" w:cs="Arial"/>
        </w:rPr>
        <w:t>využi</w:t>
      </w:r>
      <w:r>
        <w:rPr>
          <w:rFonts w:ascii="Arial" w:hAnsi="Arial" w:cs="Arial"/>
        </w:rPr>
        <w:t>je</w:t>
      </w:r>
      <w:r w:rsidR="00B214AD" w:rsidRPr="003405CD">
        <w:rPr>
          <w:rFonts w:ascii="Arial" w:hAnsi="Arial" w:cs="Arial"/>
        </w:rPr>
        <w:t xml:space="preserve"> informac</w:t>
      </w:r>
      <w:r>
        <w:rPr>
          <w:rFonts w:ascii="Arial" w:hAnsi="Arial" w:cs="Arial"/>
        </w:rPr>
        <w:t>e</w:t>
      </w:r>
      <w:r w:rsidR="00B214AD" w:rsidRPr="003405CD">
        <w:rPr>
          <w:rFonts w:ascii="Arial" w:hAnsi="Arial" w:cs="Arial"/>
        </w:rPr>
        <w:t xml:space="preserve"> o stávajících plátcích poplatku za komunální odpad tak, aby již nemuseli podávat ohlášení k místnímu poplatku v důsledku změny legislativy. </w:t>
      </w:r>
    </w:p>
    <w:p w14:paraId="3ECA7FCF" w14:textId="75517D17" w:rsidR="009A4DD3" w:rsidRDefault="003405CD" w:rsidP="00B214AD">
      <w:p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Plátcům poplatku zůst</w:t>
      </w:r>
      <w:r w:rsidR="0060667B">
        <w:rPr>
          <w:rFonts w:ascii="Arial" w:hAnsi="Arial" w:cs="Arial"/>
        </w:rPr>
        <w:t>ává</w:t>
      </w:r>
      <w:r w:rsidR="00682285">
        <w:rPr>
          <w:rFonts w:ascii="Arial" w:hAnsi="Arial" w:cs="Arial"/>
        </w:rPr>
        <w:t xml:space="preserve"> stejný</w:t>
      </w:r>
      <w:r>
        <w:rPr>
          <w:rFonts w:ascii="Arial" w:hAnsi="Arial" w:cs="Arial"/>
        </w:rPr>
        <w:t xml:space="preserve"> přidělený variabilní symbol (VS)</w:t>
      </w:r>
      <w:r w:rsidR="00563151">
        <w:rPr>
          <w:rFonts w:ascii="Arial" w:hAnsi="Arial" w:cs="Arial"/>
        </w:rPr>
        <w:t>.</w:t>
      </w:r>
      <w:r w:rsidR="00DE6FAA">
        <w:rPr>
          <w:rFonts w:ascii="Arial" w:hAnsi="Arial" w:cs="Arial"/>
        </w:rPr>
        <w:t xml:space="preserve"> </w:t>
      </w:r>
      <w:r w:rsidR="00AD7711">
        <w:rPr>
          <w:rFonts w:ascii="Arial" w:hAnsi="Arial" w:cs="Arial"/>
        </w:rPr>
        <w:t xml:space="preserve">Výše </w:t>
      </w:r>
      <w:r w:rsidR="00563151">
        <w:rPr>
          <w:rFonts w:ascii="Arial" w:hAnsi="Arial" w:cs="Arial"/>
        </w:rPr>
        <w:t xml:space="preserve">nového </w:t>
      </w:r>
      <w:r w:rsidR="00AD7711">
        <w:rPr>
          <w:rFonts w:ascii="Arial" w:hAnsi="Arial" w:cs="Arial"/>
        </w:rPr>
        <w:t>místního poplatku</w:t>
      </w:r>
      <w:r w:rsidR="00563151">
        <w:rPr>
          <w:rFonts w:ascii="Arial" w:hAnsi="Arial" w:cs="Arial"/>
        </w:rPr>
        <w:t xml:space="preserve"> pak</w:t>
      </w:r>
      <w:r w:rsidR="00AD7711">
        <w:rPr>
          <w:rFonts w:ascii="Arial" w:hAnsi="Arial" w:cs="Arial"/>
        </w:rPr>
        <w:t xml:space="preserve"> </w:t>
      </w:r>
      <w:r w:rsidR="00563151">
        <w:rPr>
          <w:rFonts w:ascii="Arial" w:hAnsi="Arial" w:cs="Arial"/>
        </w:rPr>
        <w:t xml:space="preserve">bude </w:t>
      </w:r>
      <w:proofErr w:type="gramStart"/>
      <w:r w:rsidR="00563151">
        <w:rPr>
          <w:rFonts w:ascii="Arial" w:hAnsi="Arial" w:cs="Arial"/>
        </w:rPr>
        <w:t xml:space="preserve">stanovena </w:t>
      </w:r>
      <w:r w:rsidR="00555124">
        <w:rPr>
          <w:rFonts w:ascii="Arial" w:hAnsi="Arial" w:cs="Arial"/>
        </w:rPr>
        <w:t> na</w:t>
      </w:r>
      <w:proofErr w:type="gramEnd"/>
      <w:r w:rsidR="00555124">
        <w:rPr>
          <w:rFonts w:ascii="Arial" w:hAnsi="Arial" w:cs="Arial"/>
        </w:rPr>
        <w:t xml:space="preserve"> základě naposledy objednané </w:t>
      </w:r>
      <w:r w:rsidR="008F2640">
        <w:rPr>
          <w:rFonts w:ascii="Arial" w:hAnsi="Arial" w:cs="Arial"/>
        </w:rPr>
        <w:t>kapacity</w:t>
      </w:r>
      <w:r w:rsidR="00AD7711">
        <w:rPr>
          <w:rFonts w:ascii="Arial" w:hAnsi="Arial" w:cs="Arial"/>
        </w:rPr>
        <w:t xml:space="preserve"> soustřeďovacího prostředku</w:t>
      </w:r>
      <w:r w:rsidR="00555124">
        <w:rPr>
          <w:rFonts w:ascii="Arial" w:hAnsi="Arial" w:cs="Arial"/>
        </w:rPr>
        <w:t xml:space="preserve"> a </w:t>
      </w:r>
      <w:r w:rsidR="00082850">
        <w:rPr>
          <w:rFonts w:ascii="Arial" w:hAnsi="Arial" w:cs="Arial"/>
        </w:rPr>
        <w:t>frekvence svozu</w:t>
      </w:r>
      <w:r w:rsidR="00AD7711">
        <w:rPr>
          <w:rFonts w:ascii="Arial" w:hAnsi="Arial" w:cs="Arial"/>
        </w:rPr>
        <w:t xml:space="preserve">.  </w:t>
      </w:r>
      <w:r w:rsidR="00FC160C">
        <w:rPr>
          <w:rFonts w:ascii="Arial" w:hAnsi="Arial" w:cs="Arial"/>
        </w:rPr>
        <w:t xml:space="preserve"> </w:t>
      </w:r>
    </w:p>
    <w:sectPr w:rsidR="009A4DD3" w:rsidSect="00DF4B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553"/>
    <w:multiLevelType w:val="hybridMultilevel"/>
    <w:tmpl w:val="AA8893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C3FFA"/>
    <w:multiLevelType w:val="hybridMultilevel"/>
    <w:tmpl w:val="CBB68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2D3C"/>
    <w:multiLevelType w:val="hybridMultilevel"/>
    <w:tmpl w:val="65B41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76D15"/>
    <w:multiLevelType w:val="hybridMultilevel"/>
    <w:tmpl w:val="F24C1166"/>
    <w:lvl w:ilvl="0" w:tplc="A6663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7B5"/>
    <w:multiLevelType w:val="hybridMultilevel"/>
    <w:tmpl w:val="66BC94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14299"/>
    <w:multiLevelType w:val="hybridMultilevel"/>
    <w:tmpl w:val="79FAD096"/>
    <w:lvl w:ilvl="0" w:tplc="6BC26C8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B83192"/>
    <w:multiLevelType w:val="hybridMultilevel"/>
    <w:tmpl w:val="CC706C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</w:lvl>
    <w:lvl w:ilvl="2" w:tplc="0CFC5BA2">
      <w:start w:val="1"/>
      <w:numFmt w:val="decimal"/>
      <w:lvlText w:val="(%3)"/>
      <w:lvlJc w:val="left"/>
      <w:pPr>
        <w:ind w:left="1211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DD53EC"/>
    <w:multiLevelType w:val="hybridMultilevel"/>
    <w:tmpl w:val="5D388870"/>
    <w:lvl w:ilvl="0" w:tplc="3D041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CA75626"/>
    <w:multiLevelType w:val="hybridMultilevel"/>
    <w:tmpl w:val="CBB68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869"/>
    <w:multiLevelType w:val="hybridMultilevel"/>
    <w:tmpl w:val="43D493A6"/>
    <w:lvl w:ilvl="0" w:tplc="8362E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36EC"/>
    <w:multiLevelType w:val="hybridMultilevel"/>
    <w:tmpl w:val="29761E42"/>
    <w:lvl w:ilvl="0" w:tplc="28BAEB7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B0AF3"/>
    <w:multiLevelType w:val="hybridMultilevel"/>
    <w:tmpl w:val="CBB683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C55CA"/>
    <w:multiLevelType w:val="hybridMultilevel"/>
    <w:tmpl w:val="54B40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D97599"/>
    <w:multiLevelType w:val="hybridMultilevel"/>
    <w:tmpl w:val="737CB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74B10"/>
    <w:multiLevelType w:val="hybridMultilevel"/>
    <w:tmpl w:val="B03690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35DC7"/>
    <w:multiLevelType w:val="hybridMultilevel"/>
    <w:tmpl w:val="F8EC3646"/>
    <w:lvl w:ilvl="0" w:tplc="143CC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3"/>
    <w:rsid w:val="00006E22"/>
    <w:rsid w:val="000143E8"/>
    <w:rsid w:val="00027396"/>
    <w:rsid w:val="000430B4"/>
    <w:rsid w:val="00066E92"/>
    <w:rsid w:val="00067C8C"/>
    <w:rsid w:val="000707EB"/>
    <w:rsid w:val="0008077A"/>
    <w:rsid w:val="000807E2"/>
    <w:rsid w:val="000824D1"/>
    <w:rsid w:val="00082850"/>
    <w:rsid w:val="00097902"/>
    <w:rsid w:val="000A2484"/>
    <w:rsid w:val="000B709E"/>
    <w:rsid w:val="000B78CF"/>
    <w:rsid w:val="000C13EE"/>
    <w:rsid w:val="000D13B0"/>
    <w:rsid w:val="000D3447"/>
    <w:rsid w:val="000E48A9"/>
    <w:rsid w:val="000F4C60"/>
    <w:rsid w:val="000F7264"/>
    <w:rsid w:val="00107768"/>
    <w:rsid w:val="001122E6"/>
    <w:rsid w:val="001128D9"/>
    <w:rsid w:val="001235A4"/>
    <w:rsid w:val="00126BFD"/>
    <w:rsid w:val="00133891"/>
    <w:rsid w:val="001459DA"/>
    <w:rsid w:val="00145D93"/>
    <w:rsid w:val="00150E92"/>
    <w:rsid w:val="0017363E"/>
    <w:rsid w:val="001779D9"/>
    <w:rsid w:val="001800E5"/>
    <w:rsid w:val="001815CF"/>
    <w:rsid w:val="001844A4"/>
    <w:rsid w:val="00187A1A"/>
    <w:rsid w:val="00192C33"/>
    <w:rsid w:val="00195FA5"/>
    <w:rsid w:val="001A2E43"/>
    <w:rsid w:val="001A3DF1"/>
    <w:rsid w:val="001A406D"/>
    <w:rsid w:val="001A4A75"/>
    <w:rsid w:val="001B2282"/>
    <w:rsid w:val="001B4F31"/>
    <w:rsid w:val="001D78C1"/>
    <w:rsid w:val="001E1249"/>
    <w:rsid w:val="001F241A"/>
    <w:rsid w:val="00220F60"/>
    <w:rsid w:val="00226AFD"/>
    <w:rsid w:val="00227EDF"/>
    <w:rsid w:val="00240F03"/>
    <w:rsid w:val="00241020"/>
    <w:rsid w:val="00251373"/>
    <w:rsid w:val="00253506"/>
    <w:rsid w:val="00253FF0"/>
    <w:rsid w:val="002558D0"/>
    <w:rsid w:val="0026155C"/>
    <w:rsid w:val="0027506E"/>
    <w:rsid w:val="002845B8"/>
    <w:rsid w:val="002B72D1"/>
    <w:rsid w:val="002C6B81"/>
    <w:rsid w:val="002D7957"/>
    <w:rsid w:val="002E0131"/>
    <w:rsid w:val="002E2330"/>
    <w:rsid w:val="002F1427"/>
    <w:rsid w:val="002F5FDD"/>
    <w:rsid w:val="00306491"/>
    <w:rsid w:val="00316A2F"/>
    <w:rsid w:val="0032375B"/>
    <w:rsid w:val="0033031A"/>
    <w:rsid w:val="0033160A"/>
    <w:rsid w:val="00332B7A"/>
    <w:rsid w:val="003405CD"/>
    <w:rsid w:val="00342A6B"/>
    <w:rsid w:val="00355C3B"/>
    <w:rsid w:val="003658DC"/>
    <w:rsid w:val="003762DF"/>
    <w:rsid w:val="00391CC0"/>
    <w:rsid w:val="003B349B"/>
    <w:rsid w:val="003B3F65"/>
    <w:rsid w:val="003C6BFA"/>
    <w:rsid w:val="003D0F8C"/>
    <w:rsid w:val="003E6253"/>
    <w:rsid w:val="003E7E38"/>
    <w:rsid w:val="003F2EF6"/>
    <w:rsid w:val="003F48A2"/>
    <w:rsid w:val="004016AA"/>
    <w:rsid w:val="004232FD"/>
    <w:rsid w:val="00433ED0"/>
    <w:rsid w:val="00440DB5"/>
    <w:rsid w:val="00443441"/>
    <w:rsid w:val="004442C1"/>
    <w:rsid w:val="00451FBE"/>
    <w:rsid w:val="00456436"/>
    <w:rsid w:val="00461E62"/>
    <w:rsid w:val="00463BF4"/>
    <w:rsid w:val="004654EE"/>
    <w:rsid w:val="00486CD6"/>
    <w:rsid w:val="00490A2A"/>
    <w:rsid w:val="00494ACC"/>
    <w:rsid w:val="00495101"/>
    <w:rsid w:val="00497488"/>
    <w:rsid w:val="004976A1"/>
    <w:rsid w:val="004A1FB8"/>
    <w:rsid w:val="004B1137"/>
    <w:rsid w:val="004B4FA1"/>
    <w:rsid w:val="004C423B"/>
    <w:rsid w:val="004C5E07"/>
    <w:rsid w:val="004C7025"/>
    <w:rsid w:val="004D105C"/>
    <w:rsid w:val="004D1F78"/>
    <w:rsid w:val="004D4EDA"/>
    <w:rsid w:val="004D7868"/>
    <w:rsid w:val="004E66BD"/>
    <w:rsid w:val="00507750"/>
    <w:rsid w:val="005126D5"/>
    <w:rsid w:val="00512D29"/>
    <w:rsid w:val="005141AB"/>
    <w:rsid w:val="0052655E"/>
    <w:rsid w:val="00537253"/>
    <w:rsid w:val="00547475"/>
    <w:rsid w:val="00552A05"/>
    <w:rsid w:val="00555124"/>
    <w:rsid w:val="00562E8C"/>
    <w:rsid w:val="00563151"/>
    <w:rsid w:val="005664A6"/>
    <w:rsid w:val="00571342"/>
    <w:rsid w:val="005822EC"/>
    <w:rsid w:val="00586E16"/>
    <w:rsid w:val="005908BF"/>
    <w:rsid w:val="00593FDE"/>
    <w:rsid w:val="005959FE"/>
    <w:rsid w:val="00596DBF"/>
    <w:rsid w:val="005A0C0A"/>
    <w:rsid w:val="005A6266"/>
    <w:rsid w:val="005B0A1E"/>
    <w:rsid w:val="005B4ED6"/>
    <w:rsid w:val="005C1185"/>
    <w:rsid w:val="005D3D7D"/>
    <w:rsid w:val="005E1FA4"/>
    <w:rsid w:val="005F0C0F"/>
    <w:rsid w:val="005F0C37"/>
    <w:rsid w:val="005F6241"/>
    <w:rsid w:val="005F6AB3"/>
    <w:rsid w:val="005F7F0F"/>
    <w:rsid w:val="00600677"/>
    <w:rsid w:val="0060285C"/>
    <w:rsid w:val="0060667B"/>
    <w:rsid w:val="00612EC7"/>
    <w:rsid w:val="00620D14"/>
    <w:rsid w:val="006223C1"/>
    <w:rsid w:val="00632001"/>
    <w:rsid w:val="00632B58"/>
    <w:rsid w:val="006367A7"/>
    <w:rsid w:val="006410EF"/>
    <w:rsid w:val="00644ADE"/>
    <w:rsid w:val="00646273"/>
    <w:rsid w:val="00652A4F"/>
    <w:rsid w:val="00657784"/>
    <w:rsid w:val="006627A5"/>
    <w:rsid w:val="00664C3B"/>
    <w:rsid w:val="006700CA"/>
    <w:rsid w:val="006729CC"/>
    <w:rsid w:val="00682285"/>
    <w:rsid w:val="00696803"/>
    <w:rsid w:val="006A00BD"/>
    <w:rsid w:val="006A0BDC"/>
    <w:rsid w:val="006B0ECA"/>
    <w:rsid w:val="006B6AE8"/>
    <w:rsid w:val="006C2F8C"/>
    <w:rsid w:val="006C4EFC"/>
    <w:rsid w:val="006C5D70"/>
    <w:rsid w:val="006D77DE"/>
    <w:rsid w:val="006E4EED"/>
    <w:rsid w:val="006E683D"/>
    <w:rsid w:val="006F2550"/>
    <w:rsid w:val="006F6755"/>
    <w:rsid w:val="007009E9"/>
    <w:rsid w:val="00706AE9"/>
    <w:rsid w:val="0071133A"/>
    <w:rsid w:val="0071399F"/>
    <w:rsid w:val="00722739"/>
    <w:rsid w:val="0072297B"/>
    <w:rsid w:val="0073366A"/>
    <w:rsid w:val="00734478"/>
    <w:rsid w:val="00736C70"/>
    <w:rsid w:val="007417A5"/>
    <w:rsid w:val="007439F9"/>
    <w:rsid w:val="0075257E"/>
    <w:rsid w:val="00754629"/>
    <w:rsid w:val="00757C18"/>
    <w:rsid w:val="0077377C"/>
    <w:rsid w:val="00780183"/>
    <w:rsid w:val="00780B41"/>
    <w:rsid w:val="0078673A"/>
    <w:rsid w:val="00792FC0"/>
    <w:rsid w:val="007A1851"/>
    <w:rsid w:val="007B0502"/>
    <w:rsid w:val="007B1C0D"/>
    <w:rsid w:val="007C1F39"/>
    <w:rsid w:val="007C3F4C"/>
    <w:rsid w:val="007D236E"/>
    <w:rsid w:val="007E3FE3"/>
    <w:rsid w:val="007E5B9F"/>
    <w:rsid w:val="007F6DEE"/>
    <w:rsid w:val="007F7C1A"/>
    <w:rsid w:val="00806664"/>
    <w:rsid w:val="00810B25"/>
    <w:rsid w:val="00812F54"/>
    <w:rsid w:val="008133AE"/>
    <w:rsid w:val="00822E51"/>
    <w:rsid w:val="008441FD"/>
    <w:rsid w:val="008554F1"/>
    <w:rsid w:val="00856AF5"/>
    <w:rsid w:val="008600AC"/>
    <w:rsid w:val="00864901"/>
    <w:rsid w:val="008650C8"/>
    <w:rsid w:val="00866A27"/>
    <w:rsid w:val="0086720B"/>
    <w:rsid w:val="0088484D"/>
    <w:rsid w:val="00893C20"/>
    <w:rsid w:val="008B2C37"/>
    <w:rsid w:val="008D1CE3"/>
    <w:rsid w:val="008F0B31"/>
    <w:rsid w:val="008F2640"/>
    <w:rsid w:val="008F344D"/>
    <w:rsid w:val="00901BCE"/>
    <w:rsid w:val="0090246D"/>
    <w:rsid w:val="00902B3A"/>
    <w:rsid w:val="00903948"/>
    <w:rsid w:val="0091055E"/>
    <w:rsid w:val="00924879"/>
    <w:rsid w:val="00944BAD"/>
    <w:rsid w:val="00945B33"/>
    <w:rsid w:val="00960C16"/>
    <w:rsid w:val="00965CA7"/>
    <w:rsid w:val="00971425"/>
    <w:rsid w:val="00984FC2"/>
    <w:rsid w:val="00984FEF"/>
    <w:rsid w:val="00990741"/>
    <w:rsid w:val="00990BBE"/>
    <w:rsid w:val="00996691"/>
    <w:rsid w:val="00997FCF"/>
    <w:rsid w:val="009A0600"/>
    <w:rsid w:val="009A4DD3"/>
    <w:rsid w:val="009C7DA7"/>
    <w:rsid w:val="009D0440"/>
    <w:rsid w:val="009D6CBE"/>
    <w:rsid w:val="009E4820"/>
    <w:rsid w:val="009F274C"/>
    <w:rsid w:val="00A02AC5"/>
    <w:rsid w:val="00A11E19"/>
    <w:rsid w:val="00A12A18"/>
    <w:rsid w:val="00A2246C"/>
    <w:rsid w:val="00A27022"/>
    <w:rsid w:val="00A31889"/>
    <w:rsid w:val="00A60A09"/>
    <w:rsid w:val="00A80C2E"/>
    <w:rsid w:val="00A84E8D"/>
    <w:rsid w:val="00A92829"/>
    <w:rsid w:val="00A9339B"/>
    <w:rsid w:val="00A976B3"/>
    <w:rsid w:val="00AA413C"/>
    <w:rsid w:val="00AA6824"/>
    <w:rsid w:val="00AC01B6"/>
    <w:rsid w:val="00AC407C"/>
    <w:rsid w:val="00AD5117"/>
    <w:rsid w:val="00AD7711"/>
    <w:rsid w:val="00AE2AB6"/>
    <w:rsid w:val="00AF727D"/>
    <w:rsid w:val="00B05BDB"/>
    <w:rsid w:val="00B10BEC"/>
    <w:rsid w:val="00B214AD"/>
    <w:rsid w:val="00B222BA"/>
    <w:rsid w:val="00B22AC5"/>
    <w:rsid w:val="00B26D89"/>
    <w:rsid w:val="00B26F97"/>
    <w:rsid w:val="00B273D7"/>
    <w:rsid w:val="00B27CBB"/>
    <w:rsid w:val="00B314FF"/>
    <w:rsid w:val="00B32FD4"/>
    <w:rsid w:val="00B414F9"/>
    <w:rsid w:val="00B43955"/>
    <w:rsid w:val="00B44B1E"/>
    <w:rsid w:val="00B45139"/>
    <w:rsid w:val="00B47619"/>
    <w:rsid w:val="00B8204D"/>
    <w:rsid w:val="00B85815"/>
    <w:rsid w:val="00B85AD0"/>
    <w:rsid w:val="00B86888"/>
    <w:rsid w:val="00B94AC5"/>
    <w:rsid w:val="00B97C65"/>
    <w:rsid w:val="00BB32D5"/>
    <w:rsid w:val="00BB3885"/>
    <w:rsid w:val="00BC4B28"/>
    <w:rsid w:val="00BD4D12"/>
    <w:rsid w:val="00BE29AF"/>
    <w:rsid w:val="00BE45C3"/>
    <w:rsid w:val="00BF00D0"/>
    <w:rsid w:val="00BF0961"/>
    <w:rsid w:val="00BF62E6"/>
    <w:rsid w:val="00C17E2E"/>
    <w:rsid w:val="00C2296F"/>
    <w:rsid w:val="00C34C27"/>
    <w:rsid w:val="00C42254"/>
    <w:rsid w:val="00C4477F"/>
    <w:rsid w:val="00C47C6F"/>
    <w:rsid w:val="00C5105E"/>
    <w:rsid w:val="00C56630"/>
    <w:rsid w:val="00C66171"/>
    <w:rsid w:val="00C67850"/>
    <w:rsid w:val="00C765C0"/>
    <w:rsid w:val="00C81643"/>
    <w:rsid w:val="00C8332D"/>
    <w:rsid w:val="00C84B43"/>
    <w:rsid w:val="00C97DD7"/>
    <w:rsid w:val="00CA0C6B"/>
    <w:rsid w:val="00CA576F"/>
    <w:rsid w:val="00CB1AF7"/>
    <w:rsid w:val="00CB695B"/>
    <w:rsid w:val="00CC6F3A"/>
    <w:rsid w:val="00CC6F82"/>
    <w:rsid w:val="00CD4350"/>
    <w:rsid w:val="00CE7D73"/>
    <w:rsid w:val="00CF0195"/>
    <w:rsid w:val="00CF14F9"/>
    <w:rsid w:val="00CF6925"/>
    <w:rsid w:val="00D00543"/>
    <w:rsid w:val="00D06A38"/>
    <w:rsid w:val="00D10AE2"/>
    <w:rsid w:val="00D179B4"/>
    <w:rsid w:val="00D23879"/>
    <w:rsid w:val="00D32B35"/>
    <w:rsid w:val="00D351F3"/>
    <w:rsid w:val="00D42379"/>
    <w:rsid w:val="00D42422"/>
    <w:rsid w:val="00D557B4"/>
    <w:rsid w:val="00D65723"/>
    <w:rsid w:val="00D76C7A"/>
    <w:rsid w:val="00D820BA"/>
    <w:rsid w:val="00D8682A"/>
    <w:rsid w:val="00D922FD"/>
    <w:rsid w:val="00DB66FF"/>
    <w:rsid w:val="00DC15E3"/>
    <w:rsid w:val="00DC38A1"/>
    <w:rsid w:val="00DD5DE3"/>
    <w:rsid w:val="00DD64AB"/>
    <w:rsid w:val="00DD6745"/>
    <w:rsid w:val="00DE5810"/>
    <w:rsid w:val="00DE5CB7"/>
    <w:rsid w:val="00DE6FAA"/>
    <w:rsid w:val="00DF4BC4"/>
    <w:rsid w:val="00E152D1"/>
    <w:rsid w:val="00E2412A"/>
    <w:rsid w:val="00E30B38"/>
    <w:rsid w:val="00E33B95"/>
    <w:rsid w:val="00E33BDA"/>
    <w:rsid w:val="00E479BE"/>
    <w:rsid w:val="00E53E10"/>
    <w:rsid w:val="00E56687"/>
    <w:rsid w:val="00E62EAC"/>
    <w:rsid w:val="00E67317"/>
    <w:rsid w:val="00E861BA"/>
    <w:rsid w:val="00E92EB3"/>
    <w:rsid w:val="00E9421D"/>
    <w:rsid w:val="00E94B7E"/>
    <w:rsid w:val="00E96FC4"/>
    <w:rsid w:val="00E97919"/>
    <w:rsid w:val="00EA3ABE"/>
    <w:rsid w:val="00EC7026"/>
    <w:rsid w:val="00EE4EA4"/>
    <w:rsid w:val="00EF2198"/>
    <w:rsid w:val="00F04A77"/>
    <w:rsid w:val="00F16037"/>
    <w:rsid w:val="00F23FE7"/>
    <w:rsid w:val="00F262A1"/>
    <w:rsid w:val="00F33C76"/>
    <w:rsid w:val="00F400E2"/>
    <w:rsid w:val="00F4579B"/>
    <w:rsid w:val="00F46CEE"/>
    <w:rsid w:val="00F54AE4"/>
    <w:rsid w:val="00F56465"/>
    <w:rsid w:val="00F74BED"/>
    <w:rsid w:val="00F77B23"/>
    <w:rsid w:val="00F85458"/>
    <w:rsid w:val="00FA2573"/>
    <w:rsid w:val="00FA6FA5"/>
    <w:rsid w:val="00FB1B6E"/>
    <w:rsid w:val="00FB5BA6"/>
    <w:rsid w:val="00FC1564"/>
    <w:rsid w:val="00FC160C"/>
    <w:rsid w:val="00FC27A9"/>
    <w:rsid w:val="00FC3DBB"/>
    <w:rsid w:val="00FD1511"/>
    <w:rsid w:val="00FE0142"/>
    <w:rsid w:val="00FE2EC5"/>
    <w:rsid w:val="00FE7077"/>
    <w:rsid w:val="00FE7D0E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E635"/>
  <w15:chartTrackingRefBased/>
  <w15:docId w15:val="{AACBE437-FA73-4535-BF94-F9E0F64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888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4016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016A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Default">
    <w:name w:val="Default"/>
    <w:rsid w:val="00E15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5A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612EC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extChar">
    <w:name w:val="Text Char"/>
    <w:link w:val="Text"/>
    <w:locked/>
    <w:rsid w:val="00612EC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0">
    <w:name w:val="Normal0"/>
    <w:rsid w:val="00612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cs-CZ"/>
    </w:rPr>
  </w:style>
  <w:style w:type="character" w:styleId="Hypertextovodkaz">
    <w:name w:val="Hyperlink"/>
    <w:basedOn w:val="Standardnpsmoodstavce"/>
    <w:uiPriority w:val="99"/>
    <w:unhideWhenUsed/>
    <w:rsid w:val="00F4579B"/>
    <w:rPr>
      <w:color w:val="0000FF"/>
      <w:u w:val="single"/>
    </w:rPr>
  </w:style>
  <w:style w:type="paragraph" w:customStyle="1" w:styleId="Nzvylnk">
    <w:name w:val="Názvy článků"/>
    <w:basedOn w:val="Normln"/>
    <w:rsid w:val="0072297B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D1CE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8D1CE3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F8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8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10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10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05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rsid w:val="009F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9F27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2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o.plze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4EB6-8F69-45AA-8C9E-71A7BC18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Hrabětová Alena</dc:creator>
  <cp:keywords/>
  <dc:description/>
  <cp:lastModifiedBy>Chalupová Hana</cp:lastModifiedBy>
  <cp:revision>2</cp:revision>
  <cp:lastPrinted>2021-09-30T14:25:00Z</cp:lastPrinted>
  <dcterms:created xsi:type="dcterms:W3CDTF">2021-11-24T10:54:00Z</dcterms:created>
  <dcterms:modified xsi:type="dcterms:W3CDTF">2021-11-24T10:54:00Z</dcterms:modified>
</cp:coreProperties>
</file>