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1" w:type="dxa"/>
        <w:tblLayout w:type="fixed"/>
        <w:tblCellMar>
          <w:left w:w="70" w:type="dxa"/>
          <w:right w:w="70" w:type="dxa"/>
        </w:tblCellMar>
        <w:tblLook w:val="0000" w:firstRow="0" w:lastRow="0" w:firstColumn="0" w:lastColumn="0" w:noHBand="0" w:noVBand="0"/>
      </w:tblPr>
      <w:tblGrid>
        <w:gridCol w:w="3402"/>
        <w:gridCol w:w="3402"/>
        <w:gridCol w:w="2997"/>
      </w:tblGrid>
      <w:tr w:rsidR="00974769" w:rsidRPr="009B3B03" w:rsidTr="008762AE">
        <w:tc>
          <w:tcPr>
            <w:tcW w:w="3402" w:type="dxa"/>
          </w:tcPr>
          <w:p w:rsidR="00974769" w:rsidRPr="009B3B03" w:rsidRDefault="008762AE">
            <w:pPr>
              <w:rPr>
                <w:b/>
                <w:szCs w:val="20"/>
              </w:rPr>
            </w:pPr>
            <w:r>
              <w:rPr>
                <w:b/>
              </w:rPr>
              <w:t>Zastupitelstvo</w:t>
            </w:r>
            <w:r w:rsidR="00974769" w:rsidRPr="009B3B03">
              <w:rPr>
                <w:b/>
              </w:rPr>
              <w:t xml:space="preserve"> MO Plzeň 4 dne:</w:t>
            </w:r>
          </w:p>
        </w:tc>
        <w:tc>
          <w:tcPr>
            <w:tcW w:w="3402" w:type="dxa"/>
          </w:tcPr>
          <w:p w:rsidR="00974769" w:rsidRPr="009B3B03" w:rsidRDefault="008762AE">
            <w:pPr>
              <w:pStyle w:val="Zpat"/>
              <w:tabs>
                <w:tab w:val="left" w:pos="708"/>
              </w:tabs>
              <w:ind w:firstLine="20"/>
              <w:rPr>
                <w:b/>
                <w:sz w:val="24"/>
              </w:rPr>
            </w:pPr>
            <w:r>
              <w:rPr>
                <w:b/>
                <w:sz w:val="24"/>
              </w:rPr>
              <w:t>9</w:t>
            </w:r>
            <w:r w:rsidR="00B52565">
              <w:rPr>
                <w:b/>
                <w:sz w:val="24"/>
              </w:rPr>
              <w:t>. 1</w:t>
            </w:r>
            <w:r>
              <w:rPr>
                <w:b/>
                <w:sz w:val="24"/>
              </w:rPr>
              <w:t>2</w:t>
            </w:r>
            <w:r w:rsidR="001F7DE5">
              <w:rPr>
                <w:b/>
                <w:sz w:val="24"/>
              </w:rPr>
              <w:t>. 2021</w:t>
            </w:r>
          </w:p>
        </w:tc>
        <w:tc>
          <w:tcPr>
            <w:tcW w:w="2997" w:type="dxa"/>
          </w:tcPr>
          <w:p w:rsidR="00974769" w:rsidRPr="009B3B03" w:rsidRDefault="00E970D9" w:rsidP="008762AE">
            <w:pPr>
              <w:jc w:val="center"/>
              <w:rPr>
                <w:b/>
                <w:szCs w:val="20"/>
              </w:rPr>
            </w:pPr>
            <w:r w:rsidRPr="001354E7">
              <w:rPr>
                <w:b/>
                <w:szCs w:val="20"/>
              </w:rPr>
              <w:t>FIN</w:t>
            </w:r>
            <w:r w:rsidR="00615BD9" w:rsidRPr="001354E7">
              <w:rPr>
                <w:b/>
                <w:szCs w:val="20"/>
              </w:rPr>
              <w:t>+ST</w:t>
            </w:r>
            <w:r w:rsidRPr="001354E7">
              <w:rPr>
                <w:b/>
                <w:szCs w:val="20"/>
              </w:rPr>
              <w:t>/</w:t>
            </w:r>
            <w:r w:rsidR="001354E7" w:rsidRPr="001354E7">
              <w:rPr>
                <w:b/>
                <w:szCs w:val="20"/>
              </w:rPr>
              <w:t>1</w:t>
            </w:r>
          </w:p>
        </w:tc>
      </w:tr>
    </w:tbl>
    <w:p w:rsidR="00974769" w:rsidRPr="009B3B03" w:rsidRDefault="00974769" w:rsidP="008D65B3">
      <w:pPr>
        <w:pStyle w:val="vlevo"/>
        <w:rPr>
          <w:lang w:val="en-AU"/>
        </w:rPr>
      </w:pPr>
    </w:p>
    <w:p w:rsidR="00974769" w:rsidRPr="009B3B03" w:rsidRDefault="00974769">
      <w:pPr>
        <w:pStyle w:val="nadpcent"/>
      </w:pPr>
      <w:r w:rsidRPr="009B3B03">
        <w:t>Důvodová zpráva</w:t>
      </w:r>
    </w:p>
    <w:p w:rsidR="00974769" w:rsidRPr="009B3B03" w:rsidRDefault="00974769">
      <w:pPr>
        <w:pStyle w:val="ostzahl"/>
      </w:pPr>
      <w:r w:rsidRPr="009B3B03">
        <w:t>Název problému a jeho charakteristika</w:t>
      </w:r>
    </w:p>
    <w:p w:rsidR="004535C5" w:rsidRDefault="00B52565" w:rsidP="00B52565">
      <w:pPr>
        <w:pStyle w:val="vlevo"/>
        <w:rPr>
          <w:bCs/>
          <w:szCs w:val="24"/>
        </w:rPr>
      </w:pPr>
      <w:r w:rsidRPr="00B52565">
        <w:rPr>
          <w:bCs/>
          <w:szCs w:val="24"/>
        </w:rPr>
        <w:t xml:space="preserve">Záměr novelizace vyhlášky statutárního města Plzně č. 6/2017 o regulaci provozování hazardních her </w:t>
      </w:r>
      <w:r w:rsidR="004535C5">
        <w:rPr>
          <w:bCs/>
          <w:szCs w:val="24"/>
        </w:rPr>
        <w:t>v návaznosti na</w:t>
      </w:r>
      <w:r w:rsidRPr="00B52565">
        <w:rPr>
          <w:bCs/>
          <w:szCs w:val="24"/>
        </w:rPr>
        <w:t xml:space="preserve"> aktualizac</w:t>
      </w:r>
      <w:r w:rsidR="004535C5">
        <w:rPr>
          <w:bCs/>
          <w:szCs w:val="24"/>
        </w:rPr>
        <w:t>i</w:t>
      </w:r>
      <w:r w:rsidRPr="00B52565">
        <w:rPr>
          <w:bCs/>
          <w:szCs w:val="24"/>
        </w:rPr>
        <w:t xml:space="preserve"> kritérií pro regulaci hazardních her na území města Plzně.</w:t>
      </w:r>
    </w:p>
    <w:p w:rsidR="004535C5" w:rsidRDefault="004535C5" w:rsidP="00B52565">
      <w:pPr>
        <w:pStyle w:val="vlevo"/>
        <w:rPr>
          <w:bCs/>
          <w:szCs w:val="24"/>
        </w:rPr>
      </w:pPr>
    </w:p>
    <w:p w:rsidR="00AB55DA" w:rsidRPr="004535C5" w:rsidRDefault="00B52565" w:rsidP="00B52565">
      <w:pPr>
        <w:pStyle w:val="vlevo"/>
        <w:rPr>
          <w:bCs/>
          <w:szCs w:val="24"/>
        </w:rPr>
      </w:pPr>
      <w:r w:rsidRPr="00B52565">
        <w:rPr>
          <w:bCs/>
          <w:szCs w:val="24"/>
        </w:rPr>
        <w:t>Statutární město Plzeň vydalo vyhlášku regulující provozování hazardu na území města koncem roku 2017 s účinností od 1. 1. 2018. Výčet míst, na nichž lze provozovat vyhláškou povolené hazardní hry, je uveden v příloze č. 1 této vyhlášky. Po uplynutí téměř čtyř let nastala potřeba aktualizovat tuto přílohu, neboť řada provozoven na adresách uvedených v příloze vyhlášky mezitím zanikla, a naopak město obdrželo žádosti o vznik nových herních prostorů na území města Plzně.</w:t>
      </w:r>
    </w:p>
    <w:p w:rsidR="00974769" w:rsidRDefault="00974769">
      <w:pPr>
        <w:pStyle w:val="ostzahl"/>
      </w:pPr>
      <w:r>
        <w:t>Konstatování současného stavu a jeho analýza</w:t>
      </w:r>
    </w:p>
    <w:p w:rsidR="00AC09CD" w:rsidRPr="002F5A1F" w:rsidRDefault="00AC09CD" w:rsidP="0069051E">
      <w:pPr>
        <w:spacing w:after="120"/>
        <w:jc w:val="both"/>
        <w:rPr>
          <w:b/>
          <w:u w:val="single"/>
        </w:rPr>
      </w:pPr>
      <w:r w:rsidRPr="002F5A1F">
        <w:rPr>
          <w:b/>
          <w:u w:val="single"/>
        </w:rPr>
        <w:t xml:space="preserve">Text dle zaslané </w:t>
      </w:r>
      <w:r w:rsidR="002F5A1F" w:rsidRPr="002F5A1F">
        <w:rPr>
          <w:b/>
          <w:u w:val="single"/>
        </w:rPr>
        <w:t>d</w:t>
      </w:r>
      <w:r w:rsidRPr="002F5A1F">
        <w:rPr>
          <w:b/>
          <w:u w:val="single"/>
        </w:rPr>
        <w:t>ůvodové zprávy</w:t>
      </w:r>
      <w:r w:rsidR="002F5A1F" w:rsidRPr="002F5A1F">
        <w:rPr>
          <w:b/>
          <w:u w:val="single"/>
        </w:rPr>
        <w:t xml:space="preserve"> pro RMP.</w:t>
      </w:r>
    </w:p>
    <w:p w:rsidR="005A2D9E" w:rsidRDefault="005A2D9E" w:rsidP="004E6B97">
      <w:pPr>
        <w:spacing w:after="120"/>
        <w:jc w:val="both"/>
      </w:pPr>
      <w:r>
        <w:t xml:space="preserve">Vzhledem k negativnímu dopadu hazardních her, tzv. patologického hráčství, které mohou nejen negativně ovlivnit osudy jednotlivců, ale jsou též jedním z kriminogenních faktorů, které negativně ovlivňují majetkovou trestnou činnost, vydalo statutární město Plzeň v roce 2017 vyhlášku č. 6/2017 o regulaci hazardních her na území města Plzně (dále jen „Vyhláška“). </w:t>
      </w:r>
    </w:p>
    <w:p w:rsidR="005A2D9E" w:rsidRDefault="005A2D9E" w:rsidP="004E6B97">
      <w:pPr>
        <w:spacing w:after="120"/>
        <w:jc w:val="both"/>
      </w:pPr>
      <w:r>
        <w:t>Primárním důvodem vydání vyhlášky o regulaci provozování hazardních her byla ochrana společnosti a hráčů před negativními dopady hazardu. Je nutné si uvědomit, že hazardní průmysl veřejnosti nepřináší nic produktivního a vytváří nebezpečné závislosti a negativní společenské dopady. Cílem je především omezit negativní dopady v jejich nejnebezpečnější podobě, a to zejména hře na automatech, kde se dá hovořit z pohledu rizika vzniku, že patří k jedním z nejnebezpečnějších. Mnoho lidí, které podlehlo výše uvedenému gamblerství, končí v neřešitelných dluzích, které jsou následným problémem celé jejich rodiny. Je ve veřejném zájmu ho tvrdě regulovat, omezit a uvědomit si, že ochrana společnosti a lidí ohrožených a závislých na hazardu by měla mít prioritu nad ziskem z herního průmyslu.</w:t>
      </w:r>
    </w:p>
    <w:p w:rsidR="005A2D9E" w:rsidRDefault="005A2D9E" w:rsidP="005A2D9E">
      <w:pPr>
        <w:spacing w:after="120"/>
        <w:jc w:val="both"/>
      </w:pPr>
      <w:r>
        <w:t xml:space="preserve">V roce 2016 vstoupil v platnost zákon č. 186/2016 Sb., o hazardních hrách, který zrušil a nahradil zákon č. 202/1990 Sb. Nový zákon přinesl do oblasti regulace hazardních her řadu změn. Na základě této skutečnosti vyhláška č. 6/2017 o regulaci hazardních her na území statutárního města Plzně, reagovala jak na novou právní úpravu obsaženou v zákoně č. 186/2016 Sb., tak na vývoj judikatury Nejvyššího soudu ČR v oblasti regulace hazardních her prostřednictvím obecně závazných vyhlášek obcí. </w:t>
      </w:r>
    </w:p>
    <w:p w:rsidR="005A2D9E" w:rsidRDefault="005A2D9E" w:rsidP="005A2D9E">
      <w:pPr>
        <w:spacing w:after="120"/>
        <w:jc w:val="both"/>
      </w:pPr>
      <w:r>
        <w:t>Právě s ohledem na poslední judikaturu Nejvyššího soudu ČR a po konzultaci s Odborem dozoru a kontroly MV ČR došlo v rámci přípravy vyhlášky ke stanovení kritérií regulace, na základě, kterých byla schválena výše uvedená obecně závazná vyhláška č. 6/2017 o regulaci provozování hazardních her.</w:t>
      </w:r>
    </w:p>
    <w:p w:rsidR="005A2D9E" w:rsidRDefault="005A2D9E" w:rsidP="005A2D9E">
      <w:pPr>
        <w:spacing w:after="120"/>
        <w:jc w:val="both"/>
      </w:pPr>
      <w:r>
        <w:t xml:space="preserve">Dne 28. 6. 2021 bylo Radou města Plzně schváleno usnesení č. 689, týkající se záměru novelizace obecně závazné vyhlášky č.6/2017 o regulaci provozování hazardních her (dále jen „Vyhláška“), a to za účelem aktualizace přílohy č.1 Vyhlášky, jejímž obsahem jsou místa, na nichž lze provozovat hazardní hry na území města Plzně. V souvislosti s přípravou novely Vyhlášky Rada města Plzně stanovila následující kritéria pro regulaci hazardních her na území města Plzně. </w:t>
      </w:r>
    </w:p>
    <w:p w:rsidR="005A2D9E" w:rsidRDefault="005A2D9E" w:rsidP="00C85A42">
      <w:pPr>
        <w:pStyle w:val="Odstavecseseznamem"/>
        <w:numPr>
          <w:ilvl w:val="0"/>
          <w:numId w:val="17"/>
        </w:numPr>
        <w:spacing w:after="120"/>
        <w:ind w:left="641" w:hanging="357"/>
        <w:contextualSpacing w:val="0"/>
        <w:jc w:val="both"/>
      </w:pPr>
      <w:r>
        <w:lastRenderedPageBreak/>
        <w:t>Bingo, technickou hru, živou hru (dále jen „Hazardní hry“) bude možné na území statutárního města Plzně provozovat pouze na místech uvedených v aktualizované příloze Vyhlášky;</w:t>
      </w:r>
    </w:p>
    <w:p w:rsidR="005A2D9E" w:rsidRDefault="005A2D9E" w:rsidP="00C85A42">
      <w:pPr>
        <w:pStyle w:val="Odstavecseseznamem"/>
        <w:numPr>
          <w:ilvl w:val="0"/>
          <w:numId w:val="17"/>
        </w:numPr>
        <w:spacing w:before="240" w:after="120"/>
        <w:jc w:val="both"/>
      </w:pPr>
      <w:r>
        <w:t>Místa, kde bude možné provozovat Hazardní hry, budou splňovat všechny tyto podmínky:</w:t>
      </w:r>
    </w:p>
    <w:p w:rsidR="00857325" w:rsidRDefault="005A2D9E" w:rsidP="005A2D9E">
      <w:pPr>
        <w:pStyle w:val="Odstavecseseznamem"/>
        <w:numPr>
          <w:ilvl w:val="0"/>
          <w:numId w:val="18"/>
        </w:numPr>
        <w:spacing w:after="120"/>
        <w:ind w:left="1134" w:hanging="425"/>
        <w:jc w:val="both"/>
      </w:pPr>
      <w:r>
        <w:t xml:space="preserve">místo se nenachází v chráněné budově ve smyslu § 13 odst. 1 zákona č. 186/2016 Sb., o hazardních hrách; </w:t>
      </w:r>
    </w:p>
    <w:p w:rsidR="00857325" w:rsidRDefault="005A2D9E" w:rsidP="005A2D9E">
      <w:pPr>
        <w:pStyle w:val="Odstavecseseznamem"/>
        <w:numPr>
          <w:ilvl w:val="0"/>
          <w:numId w:val="18"/>
        </w:numPr>
        <w:spacing w:after="120"/>
        <w:ind w:left="1134" w:hanging="425"/>
        <w:jc w:val="both"/>
      </w:pPr>
      <w:r>
        <w:t xml:space="preserve">místo se nenachází v docházkové vzdálenosti 100 m od škol a školských zařízení s tím, že docházková vzdálenost bude měřena od vchodu budovy školy či školského zařízení ke vchodu budovy, v níž bude možné provozovat Hazardní hry; </w:t>
      </w:r>
    </w:p>
    <w:p w:rsidR="005A2D9E" w:rsidRDefault="005A2D9E" w:rsidP="00C85A42">
      <w:pPr>
        <w:pStyle w:val="Odstavecseseznamem"/>
        <w:numPr>
          <w:ilvl w:val="0"/>
          <w:numId w:val="18"/>
        </w:numPr>
        <w:spacing w:after="120"/>
        <w:ind w:left="1134" w:hanging="425"/>
        <w:contextualSpacing w:val="0"/>
        <w:jc w:val="both"/>
      </w:pPr>
      <w:r>
        <w:t xml:space="preserve">jedná se o místo, na kterém lze ke dni 30. 9. 2021 provozovat Hazardní hru dle platného povolení k provozování loterie a jiné podobné hry vydaného podle zákona č. 202/1990 Sb., nebo povolení k provozování hazardní hry vydaného dle §85 a násl. zákona č. 186/2016 Sb., o hazardních hrách a na příslušné místo bylo vydáno povolení k umístění herního prostoru dle §97 odst. 1 zákona č.186/2016 sb., o hazardních hrách. </w:t>
      </w:r>
    </w:p>
    <w:p w:rsidR="00857325" w:rsidRDefault="005A2D9E" w:rsidP="00C85A42">
      <w:pPr>
        <w:pStyle w:val="Odstavecseseznamem"/>
        <w:numPr>
          <w:ilvl w:val="0"/>
          <w:numId w:val="17"/>
        </w:numPr>
        <w:spacing w:after="120"/>
        <w:ind w:left="641" w:hanging="357"/>
        <w:contextualSpacing w:val="0"/>
        <w:jc w:val="both"/>
      </w:pPr>
      <w:r>
        <w:t>Do aktualizované přílohy Vyhlášky bude nově zařazeno místo, o jehož zařazení bylo prostřednictvím BEZP MMP zažádáno nejpozději do 30.9. 2021 9:00 hod. Do aktualizované přílohy Vyhlášky nebudou zařazena místa, o jejichž vynětí požádal prostřednictvím MMP BEZP nejpozději do 30.9. 2021 9:00 hod poslední provozovatel, který je, nebo byl oprávněn na tomto místě hazardní hru provozovat.</w:t>
      </w:r>
    </w:p>
    <w:p w:rsidR="00857325" w:rsidRDefault="005A2D9E" w:rsidP="00C85A42">
      <w:pPr>
        <w:pStyle w:val="Odstavecseseznamem"/>
        <w:numPr>
          <w:ilvl w:val="0"/>
          <w:numId w:val="17"/>
        </w:numPr>
        <w:spacing w:after="120"/>
        <w:ind w:left="641" w:hanging="357"/>
        <w:contextualSpacing w:val="0"/>
        <w:jc w:val="both"/>
      </w:pPr>
      <w:r>
        <w:t>Počet herních míst, na nichž bude na území města Plzně provozování hazardních her povoleno, nepřekročí hranici 100 herních míst. V případě, že by se počet žádostí o zařazení nových herních míst, při zohlednění zaniklých herních míst překročil v součtu do té doby povolenými herními místy celkový maximální počet 100 herních míst, bylo by pro výběr nových herních míst, kromě shora uvedených kritérií, určující kritérium docházkové vzdálenosti herního místa uvedeného v žádosti o jeho zařazení do vyhlášky od vchodu do budovy školy, či školského zařízení (při výběru by se preferovala herní místa co nejvíce vzdálena od školy či školského zařízení).</w:t>
      </w:r>
    </w:p>
    <w:p w:rsidR="005A2D9E" w:rsidRDefault="005A2D9E" w:rsidP="005A2D9E">
      <w:pPr>
        <w:pStyle w:val="Odstavecseseznamem"/>
        <w:numPr>
          <w:ilvl w:val="0"/>
          <w:numId w:val="17"/>
        </w:numPr>
        <w:spacing w:after="120"/>
        <w:jc w:val="both"/>
      </w:pPr>
      <w:r>
        <w:t>V novele Vyhlášky nebude stanovena časová regulace.</w:t>
      </w:r>
    </w:p>
    <w:p w:rsidR="005A2D9E" w:rsidRDefault="005A2D9E" w:rsidP="005A2D9E">
      <w:pPr>
        <w:spacing w:after="120"/>
        <w:jc w:val="both"/>
      </w:pPr>
      <w:r>
        <w:t xml:space="preserve">Předmětem regulace byly všechny hazardní hry dle zákona č. 186/2016 Sb., o hazardních hrách, s výjimkou turnaje malého rozsahu. Turnaj malého rozsahu je dle § 64 zákona turnaj v karetní hře vyřazovacího typu, při němž je počet účastníků hazardní hry předem určen. Důvodem pro vynětí turnaje malého rozsahu z regulace prostřednictvím obecně závazné vyhlášky města je skutečnost, že společenská nebezpečnost této hazardní hry je oproti ostatním hazardním hrám podstatně nižší a že postačuje regulace této hazardní hry na úrovni zákona o hazardních hrách.  </w:t>
      </w:r>
    </w:p>
    <w:p w:rsidR="005A2D9E" w:rsidRDefault="005A2D9E" w:rsidP="005A2D9E">
      <w:pPr>
        <w:spacing w:after="120"/>
        <w:jc w:val="both"/>
      </w:pPr>
      <w:r>
        <w:t>Účelem stanovení kritéria uvedeného shora pod písm. a) bylo zabránit povolení herních míst vyhláškou tam, kde je stanovený zákaz provozování hazardních her přímo zákonem. Zákaz provozování hazardních her v tzv. chráněných budovách je dán § 13 odst. 1 zákona č. 186/2016 Sb., o hazardních hrách.</w:t>
      </w:r>
    </w:p>
    <w:p w:rsidR="005A2D9E" w:rsidRDefault="005A2D9E" w:rsidP="005A2D9E">
      <w:pPr>
        <w:spacing w:after="120"/>
        <w:jc w:val="both"/>
      </w:pPr>
      <w:r>
        <w:t xml:space="preserve">Účelem stanovení kritéria uvedeného shora pod písm. b) byla ochrana dětí a mladistvých před závislostí na hazardu a před negativními vlivy hazardních her, zejména ohrožení jejich bezpečnosti osobami sdružujícími se v blízkosti vchodů do provozoven. Školy a školská zařízení jsou tzv. chráněnou budovou, ve které je zakázáno provozování hazardních her ze zákona č. 186/2016 Sb. Zákonodárce však již, na rozdíl od některých dřívějších zákonných úprav, zakazuje provozování hazardních her pouze v prostorách samotné budovy školy či školského zařízení a regulaci provozování hazardních her v jejich okolí ponechává na obcích. </w:t>
      </w:r>
      <w:r>
        <w:lastRenderedPageBreak/>
        <w:t xml:space="preserve">Kromě škol a školských zařízení se nabízí regulovat provoz Hazardních her také v okolí zařízení pro volnočasové aktivity dětí a mládeže, což je další typ chráněných budov, v nichž se sdružují děti a mladiství. Na rozdíl od škol a školských zařízení, jejichž identifikace nečiní problém, neboť dle § 7 odst. 6 školského zákona je podmínkou výkonu činnosti školy nebo školského zařízení jejich zápis do školského rejstříku, u zařízení pro volnočasové aktivity dětí a mládeže problém s jejich identifikací nastává. Nelze tak zaručit, že by v případě vyhlášky byla vzata v potaz všechna zařízení pro volnočasové aktivity dětí a mládeže, čímž by mohly vzniknout nedůvodné rozdíly v regulaci Hazardních her na území města. Zejména z tohoto důvodu došlo k regulaci provozu Hazardních her pouze v okolí škol a školských zařízení. </w:t>
      </w:r>
    </w:p>
    <w:p w:rsidR="005A2D9E" w:rsidRDefault="005A2D9E" w:rsidP="005A2D9E">
      <w:pPr>
        <w:spacing w:after="120"/>
        <w:jc w:val="both"/>
      </w:pPr>
      <w:r>
        <w:t>Docházková vzdálenost byla navržena proto, že představuje faktickou dostupnou vzdálenost herního místa od budovy školy či školského zařízení, na rozdíl od vzdušné vzdálenosti.</w:t>
      </w:r>
    </w:p>
    <w:p w:rsidR="005A2D9E" w:rsidRDefault="005A2D9E" w:rsidP="005A2D9E">
      <w:pPr>
        <w:spacing w:after="120"/>
        <w:jc w:val="both"/>
      </w:pPr>
      <w:r>
        <w:t xml:space="preserve">Regulace Hazardních her na území města Plzně byla stanovena prostřednictvím určení konkrétních míst, na nichž bude provozování hazardních her povoleno. Způsob regulace stanovením konkrétních míst byl navržen proto, aby mělo město kontrolu nad počtem herních prostorů na svém území a zamezilo tak nekontrolovatelnému nárůstu nových herních prostorů na území města mimo lokality uvedené shora pod písm. a) – b). </w:t>
      </w:r>
    </w:p>
    <w:p w:rsidR="005A2D9E" w:rsidRDefault="005A2D9E" w:rsidP="005A2D9E">
      <w:pPr>
        <w:spacing w:after="120"/>
        <w:jc w:val="both"/>
      </w:pPr>
      <w:r>
        <w:t xml:space="preserve">Jelikož již v době přijetí Vyhlášky se předpokládalo, že některé stávající herní prostory (herny a kasina), které splňují všechna shora uvedená kritéria, a budou tak zařazeny do Vyhlášky, v průběhu účinnosti Vyhlášky zaniknou (zejména z důvodu, že nebudou splňovat technické požadavky kladené novým zákonem a nezískají tak příslušné povolení).  A současně, že se v průběhu účinnosti Vyhlášky objeví žádosti o vznik nových herních prostorů, počítalo se, že vždy po určité době dojde k novelizaci Vyhlášky města, kterou by se z vyhlášky vyřadila místa, která již městem stanovená kritéria nesplňují, a současně by byla do vyhlášky zařazena nová místa, která splňují městem stanovená kritéria uvedená shora pod písm. </w:t>
      </w:r>
      <w:proofErr w:type="gramStart"/>
      <w:r>
        <w:t xml:space="preserve">a)   </w:t>
      </w:r>
      <w:proofErr w:type="gramEnd"/>
      <w:r>
        <w:t>b). Pro případ novelizace vyhlášky bylo stanoveno, že budou aplikována kritéria uvedená shora pod písm. a) – b). Kritérium pro výběr konkrétních míst uvedené shora pod písm. c) bude vždy aktualizováno stanovením časového termínu odpovídajícího době novelizace vyhlášky. Vzhledem k tomu, že v současné příloze Vyhlášky č. 6/2017 o regulaci provozování hazardních her je uvedeno několik adres, kde dosud nebyl zahájen provoz, byla jako další kritérium uvedena povinnost, že na příslušné místo, bylo vydáno povolení k umístění herního prostoru dle §97 odst.1, zákona č.186/2016 Sb., o hazardních hrách.</w:t>
      </w:r>
    </w:p>
    <w:p w:rsidR="005A2D9E" w:rsidRDefault="005A2D9E" w:rsidP="005A2D9E">
      <w:pPr>
        <w:spacing w:after="120"/>
        <w:jc w:val="both"/>
      </w:pPr>
      <w:r>
        <w:t xml:space="preserve"> Dle bodu 3. bude otevřena možnost vstupu nových soutěžitelů na trh, a to prostřednictvím žádosti do uvedeného termínu, za předpokladu splnění kritérií uvedených shora pod písm. předpokladu dodržení maximálního počtu herních míst ve smyslu následujícího odstavce.  </w:t>
      </w:r>
    </w:p>
    <w:p w:rsidR="005A2D9E" w:rsidRDefault="005A2D9E" w:rsidP="005A2D9E">
      <w:pPr>
        <w:spacing w:after="120"/>
        <w:jc w:val="both"/>
      </w:pPr>
      <w:r>
        <w:t xml:space="preserve">Cílem přijetí novelizace obecně závazné vyhlášky je regulovat počet herních míst na území města Plzně. Dle bodu 4. byl stanoven maximální počet herních míst, na nichž bude na území města Plzně provozování hazardních her povoleno, a to v počtu 100 herních míst. V případě, že by počet žádostí o zařazení nových herních míst, při zohlednění zaniklých herních míst, překročil v součtu s do té doby povolenými herními místy celkový maximální počet 100 herních míst, bylo by pro výběr nových herních míst, kromě splnění městem stanovených kritérií, určující kritérium docházkové vzdálenosti herního místa uvedeného v žádosti o jeho zařazení do vyhlášky od vchodu do budovy školy či školského zařízení (při výběru by se preferovala herní místa co nejvíce vzdálená od školy či školského zařízení).    </w:t>
      </w:r>
    </w:p>
    <w:p w:rsidR="005A2D9E" w:rsidRDefault="005A2D9E" w:rsidP="005A2D9E">
      <w:pPr>
        <w:spacing w:after="120"/>
        <w:jc w:val="both"/>
      </w:pPr>
      <w:r>
        <w:t>Touto cestou dala Rada města Plzně jasně najevo, že nevylučuje vznik nových heren na místech, která budou splňovat městem nastavená kritéria výběru, ovšem za předpokladu, že nedojde k překročení předem stanoveného maximálního počtu herních míst.</w:t>
      </w:r>
    </w:p>
    <w:p w:rsidR="005A2D9E" w:rsidRDefault="005A2D9E" w:rsidP="005A2D9E">
      <w:pPr>
        <w:spacing w:after="120"/>
        <w:jc w:val="both"/>
      </w:pPr>
      <w:r>
        <w:lastRenderedPageBreak/>
        <w:t xml:space="preserve">V současné době některé stávající herní prostory (herny a kasina), která jsou zařazena ve stávající Vyhlášce 6/2017 o regulaci provozování hazardních her, v průběhu její účinnosti zanikla (zejména z důvodu nesplnění technických požadavků kladených novým zákonem a nezískali tak příslušné povolení). Dále v průběhu účinnosti nové vyhlášky se objevily nové žádosti o vznik nových herních prostorů, které jsou v nové příloze také zařazeny. </w:t>
      </w:r>
    </w:p>
    <w:p w:rsidR="005A2D9E" w:rsidRDefault="005A2D9E" w:rsidP="005A2D9E">
      <w:pPr>
        <w:spacing w:after="120"/>
        <w:jc w:val="both"/>
      </w:pPr>
      <w:r>
        <w:t xml:space="preserve">Cílem novelizace Vyhlášky je upravit počet herních míst na území města Plzně tak, aby z ní byla vyřazena ta místa, kde provozovatelé vyjádřili svoji vůli zde již hazardní hry neprovozovat, a místa, na nichž již nelze dle příslušného platného povolení vydaného dle zákona o hazardních hrách provozovat Hazardní hru. Novelizace Vyhlášky umožňuje také doplnění nových míst, kde naopak provozovatelé vyjádřili svůj zájem Hazardní hru provozovat a vyhovují shora uvedeným kritériím.  </w:t>
      </w:r>
    </w:p>
    <w:p w:rsidR="005A2D9E" w:rsidRDefault="005A2D9E" w:rsidP="005A2D9E">
      <w:pPr>
        <w:spacing w:after="120"/>
        <w:jc w:val="both"/>
      </w:pPr>
      <w:r>
        <w:t>Připravovaná novela Vyhlášky (dále jen „Novela“) byla zpracována v souladu se shora uvedenými kritérii. V souvislosti s výše uvedenými důvody dochází k aktualizaci kritérií, a to v bodě 2. písm. c) a v bodě 3, 4, 5.</w:t>
      </w:r>
    </w:p>
    <w:p w:rsidR="00C85A42" w:rsidRDefault="005A2D9E" w:rsidP="005A2D9E">
      <w:pPr>
        <w:spacing w:after="120"/>
        <w:jc w:val="both"/>
      </w:pPr>
      <w:r>
        <w:t xml:space="preserve">Ve stávající vyhlášce </w:t>
      </w:r>
      <w:bookmarkStart w:id="0" w:name="_Hlk86133675"/>
      <w:r>
        <w:t>statutárního města Plzně č.6/2017 o regulaci provozování hazardních he</w:t>
      </w:r>
      <w:bookmarkEnd w:id="0"/>
      <w:r>
        <w:t xml:space="preserve">r je v příloze uvedeno 98 míst. V současném návrhu změny obecně závazné vyhlášky je uvedeno pouze 48 hracích míst. Uvedenou změnou dochází k poklesu počtu hracích míst na území města Plzně o 50, což činí pokles o cca </w:t>
      </w:r>
      <w:proofErr w:type="gramStart"/>
      <w:r>
        <w:t>51%</w:t>
      </w:r>
      <w:proofErr w:type="gramEnd"/>
      <w:r>
        <w:t>!!</w:t>
      </w:r>
    </w:p>
    <w:p w:rsidR="00083FE6" w:rsidRDefault="00083FE6" w:rsidP="005A2D9E">
      <w:pPr>
        <w:spacing w:after="120"/>
        <w:jc w:val="both"/>
      </w:pPr>
    </w:p>
    <w:p w:rsidR="00C85A42" w:rsidRPr="00C85A42" w:rsidRDefault="00C85A42" w:rsidP="005A2D9E">
      <w:pPr>
        <w:spacing w:after="120"/>
        <w:jc w:val="both"/>
        <w:rPr>
          <w:b/>
          <w:u w:val="single"/>
        </w:rPr>
      </w:pPr>
      <w:r w:rsidRPr="00C85A42">
        <w:rPr>
          <w:b/>
          <w:u w:val="single"/>
        </w:rPr>
        <w:t>Další informace:</w:t>
      </w:r>
    </w:p>
    <w:p w:rsidR="005F7C7A" w:rsidRPr="001C73BF" w:rsidRDefault="005F7C7A" w:rsidP="005A2D9E">
      <w:pPr>
        <w:spacing w:after="120"/>
        <w:jc w:val="both"/>
      </w:pPr>
      <w:r w:rsidRPr="001C73BF">
        <w:t xml:space="preserve">Návrh změny obecně závazné </w:t>
      </w:r>
      <w:r w:rsidR="009D3C6B" w:rsidRPr="001C73BF">
        <w:t>V</w:t>
      </w:r>
      <w:r w:rsidRPr="001C73BF">
        <w:t>yhlášky byl zaslán k připomínkování městským obvodům dne 1</w:t>
      </w:r>
      <w:r w:rsidR="003967D7" w:rsidRPr="001C73BF">
        <w:t>2</w:t>
      </w:r>
      <w:r w:rsidRPr="001C73BF">
        <w:t xml:space="preserve">. </w:t>
      </w:r>
      <w:r w:rsidR="003967D7" w:rsidRPr="001C73BF">
        <w:t>10</w:t>
      </w:r>
      <w:r w:rsidRPr="001C73BF">
        <w:t>. 2021</w:t>
      </w:r>
      <w:r w:rsidR="003967D7" w:rsidRPr="001C73BF">
        <w:t>, kde stanovil termín k projednání v obvodních orgánech</w:t>
      </w:r>
      <w:r w:rsidR="009B6787" w:rsidRPr="001C73BF">
        <w:t xml:space="preserve"> </w:t>
      </w:r>
      <w:r w:rsidR="003175E2" w:rsidRPr="001C73BF">
        <w:t>do 15. 11. 2021</w:t>
      </w:r>
      <w:r w:rsidR="008650A5" w:rsidRPr="001C73BF">
        <w:t xml:space="preserve">. </w:t>
      </w:r>
      <w:r w:rsidR="009B6787" w:rsidRPr="001C73BF">
        <w:rPr>
          <w:i/>
        </w:rPr>
        <w:t>(Odbor bezpečnosti, prevence kriminality a kriz</w:t>
      </w:r>
      <w:r w:rsidR="00D468E5" w:rsidRPr="001C73BF">
        <w:rPr>
          <w:i/>
        </w:rPr>
        <w:t>ového</w:t>
      </w:r>
      <w:r w:rsidR="009B6787" w:rsidRPr="001C73BF">
        <w:rPr>
          <w:i/>
        </w:rPr>
        <w:t xml:space="preserve"> řízení MMP je srozuměn s tím, že </w:t>
      </w:r>
      <w:r w:rsidR="003967D7" w:rsidRPr="001C73BF">
        <w:rPr>
          <w:i/>
        </w:rPr>
        <w:t>MO Plzeň 4 bude materiál projednávat i v zastupitelstvu MO P4</w:t>
      </w:r>
      <w:r w:rsidR="003C2112" w:rsidRPr="001C73BF">
        <w:rPr>
          <w:i/>
        </w:rPr>
        <w:t xml:space="preserve"> – 9. 12. 2021 a své stanovisko </w:t>
      </w:r>
      <w:r w:rsidR="005433CC" w:rsidRPr="001C73BF">
        <w:rPr>
          <w:i/>
        </w:rPr>
        <w:t xml:space="preserve">ve formě usnesení ZMO P4 </w:t>
      </w:r>
      <w:r w:rsidR="003C2112" w:rsidRPr="001C73BF">
        <w:rPr>
          <w:i/>
        </w:rPr>
        <w:t xml:space="preserve">zašle až po stanoveném termínu. </w:t>
      </w:r>
      <w:r w:rsidR="003967D7" w:rsidRPr="001C73BF">
        <w:rPr>
          <w:i/>
        </w:rPr>
        <w:t xml:space="preserve"> </w:t>
      </w:r>
      <w:r w:rsidR="005433CC" w:rsidRPr="001C73BF">
        <w:rPr>
          <w:i/>
        </w:rPr>
        <w:t xml:space="preserve">Dále bylo dohodnuto, že </w:t>
      </w:r>
      <w:r w:rsidR="003C2112" w:rsidRPr="001C73BF">
        <w:rPr>
          <w:i/>
        </w:rPr>
        <w:t>MO P4 zašle dílčí stanovisko – usnesení z RMO P4 z 3. 11.</w:t>
      </w:r>
      <w:r w:rsidR="005433CC" w:rsidRPr="001C73BF">
        <w:rPr>
          <w:i/>
        </w:rPr>
        <w:t xml:space="preserve"> 2021</w:t>
      </w:r>
      <w:r w:rsidR="009B6787" w:rsidRPr="001C73BF">
        <w:rPr>
          <w:i/>
        </w:rPr>
        <w:t>)</w:t>
      </w:r>
      <w:r w:rsidR="003F6248" w:rsidRPr="001C73BF">
        <w:rPr>
          <w:i/>
        </w:rPr>
        <w:t>.</w:t>
      </w:r>
    </w:p>
    <w:p w:rsidR="003F6248" w:rsidRPr="001C73BF" w:rsidRDefault="0019476D" w:rsidP="0069051E">
      <w:pPr>
        <w:spacing w:after="120"/>
        <w:jc w:val="both"/>
      </w:pPr>
      <w:r w:rsidRPr="001C73BF">
        <w:t xml:space="preserve">Orgány MO Plzeň se již </w:t>
      </w:r>
      <w:r w:rsidR="00DB14B0" w:rsidRPr="001C73BF">
        <w:t xml:space="preserve">jednou </w:t>
      </w:r>
      <w:r w:rsidRPr="001C73BF">
        <w:t>v</w:t>
      </w:r>
      <w:r w:rsidR="00DB14B0" w:rsidRPr="001C73BF">
        <w:t> </w:t>
      </w:r>
      <w:r w:rsidRPr="001C73BF">
        <w:t>roc</w:t>
      </w:r>
      <w:r w:rsidR="00DB14B0" w:rsidRPr="001C73BF">
        <w:t>e 2021 vyjadřoval</w:t>
      </w:r>
      <w:r w:rsidR="002A3800" w:rsidRPr="001C73BF">
        <w:t>y</w:t>
      </w:r>
      <w:r w:rsidR="00DB14B0" w:rsidRPr="001C73BF">
        <w:t xml:space="preserve"> k novele předmětné </w:t>
      </w:r>
      <w:r w:rsidR="009D3C6B" w:rsidRPr="001C73BF">
        <w:t>V</w:t>
      </w:r>
      <w:r w:rsidR="00DB14B0" w:rsidRPr="001C73BF">
        <w:t xml:space="preserve">yhlášky (usnesení </w:t>
      </w:r>
      <w:bookmarkStart w:id="1" w:name="_Hlk86133829"/>
      <w:r w:rsidR="00DB14B0" w:rsidRPr="001C73BF">
        <w:t>ZMO P4 č. 0017/21 ze dne 22. 4. 2021</w:t>
      </w:r>
      <w:bookmarkEnd w:id="1"/>
      <w:r w:rsidR="00DB14B0" w:rsidRPr="001C73BF">
        <w:t>)</w:t>
      </w:r>
      <w:r w:rsidR="00BE3743" w:rsidRPr="001C73BF">
        <w:t xml:space="preserve">, kde se projednávala verze </w:t>
      </w:r>
      <w:r w:rsidR="00B30B5B" w:rsidRPr="001C73BF">
        <w:t>novely vyhlášky statutárního města Plzně č.6/2017 o regulaci provozování hazardních her</w:t>
      </w:r>
      <w:r w:rsidR="00BE3743" w:rsidRPr="001C73BF">
        <w:t>, kde poklesl počet adres na území MO P4 o jednu adresu. Tato verze novely nebyla schválena a je postupován</w:t>
      </w:r>
      <w:r w:rsidR="00B30B5B" w:rsidRPr="001C73BF">
        <w:t>o</w:t>
      </w:r>
      <w:r w:rsidR="00BE3743" w:rsidRPr="001C73BF">
        <w:t xml:space="preserve"> nyní dle usnesení RMP </w:t>
      </w:r>
      <w:r w:rsidR="002A3800" w:rsidRPr="001C73BF">
        <w:t>č. 689 ze dne 28. 6. 2021</w:t>
      </w:r>
      <w:r w:rsidR="00B30B5B" w:rsidRPr="001C73BF">
        <w:t xml:space="preserve"> a byla připravena nová verze novely vyhlášky statutárního města Plzně č.6/2017 o regulaci provozování hazardních he</w:t>
      </w:r>
      <w:r w:rsidR="00A3122D" w:rsidRPr="001C73BF">
        <w:t>r.</w:t>
      </w:r>
    </w:p>
    <w:p w:rsidR="00A3122D" w:rsidRPr="001C73BF" w:rsidRDefault="00A3122D" w:rsidP="0069051E">
      <w:pPr>
        <w:spacing w:after="120"/>
        <w:jc w:val="both"/>
      </w:pPr>
      <w:r w:rsidRPr="001C73BF">
        <w:t xml:space="preserve">Dle vyjádření Mgr. Hrubého není nutné usnesení ZMO P4 č. 0017/21 ze dne 22. 4. 2021 nijak měnit, rušit ani znovu projednávat v ZMO, neboť reagujeme na nový návrh změnové vyhlášky. Nejedná se o opakované projednání původního návrhu změnové vyhlášky. </w:t>
      </w:r>
    </w:p>
    <w:p w:rsidR="001F7DE5" w:rsidRDefault="00B11E3D" w:rsidP="0069051E">
      <w:pPr>
        <w:spacing w:after="120"/>
        <w:jc w:val="both"/>
      </w:pPr>
      <w:r w:rsidRPr="001C73BF">
        <w:rPr>
          <w:b/>
        </w:rPr>
        <w:t>V městském obvodě Plzeň 4</w:t>
      </w:r>
      <w:r w:rsidRPr="001C73BF">
        <w:t xml:space="preserve"> </w:t>
      </w:r>
      <w:r w:rsidR="005F7C7A" w:rsidRPr="001C73BF">
        <w:rPr>
          <w:b/>
        </w:rPr>
        <w:t>pokles</w:t>
      </w:r>
      <w:r w:rsidR="00E31724" w:rsidRPr="001C73BF">
        <w:rPr>
          <w:b/>
        </w:rPr>
        <w:t xml:space="preserve">ne </w:t>
      </w:r>
      <w:r w:rsidR="002A3800" w:rsidRPr="001C73BF">
        <w:t>v předkládané verzi novely vyhlášky</w:t>
      </w:r>
      <w:r w:rsidR="00B30B5B" w:rsidRPr="001C73BF">
        <w:t xml:space="preserve"> statutárního města Plzně č.6/2017 o regulaci provozování hazardních her</w:t>
      </w:r>
      <w:r w:rsidR="002A3800" w:rsidRPr="001C73BF">
        <w:t xml:space="preserve"> </w:t>
      </w:r>
      <w:r w:rsidR="00E31724" w:rsidRPr="001C73BF">
        <w:t xml:space="preserve">oproti </w:t>
      </w:r>
      <w:r w:rsidR="003F6248" w:rsidRPr="001C73BF">
        <w:t xml:space="preserve">platné </w:t>
      </w:r>
      <w:r w:rsidR="002277FA" w:rsidRPr="001C73BF">
        <w:t>V</w:t>
      </w:r>
      <w:r w:rsidR="003F6248" w:rsidRPr="001C73BF">
        <w:t>yhlášce</w:t>
      </w:r>
      <w:r w:rsidR="005F7C7A" w:rsidRPr="001C73BF">
        <w:t xml:space="preserve"> </w:t>
      </w:r>
      <w:r w:rsidR="005F7C7A" w:rsidRPr="001C73BF">
        <w:rPr>
          <w:b/>
        </w:rPr>
        <w:t xml:space="preserve">počet adres o </w:t>
      </w:r>
      <w:r w:rsidR="00B30B5B" w:rsidRPr="001C73BF">
        <w:rPr>
          <w:b/>
        </w:rPr>
        <w:t>tři</w:t>
      </w:r>
      <w:r w:rsidR="003F6248" w:rsidRPr="001C73BF">
        <w:t xml:space="preserve"> </w:t>
      </w:r>
      <w:r w:rsidR="005F7C7A" w:rsidRPr="001C73BF">
        <w:t>(byl</w:t>
      </w:r>
      <w:r w:rsidR="003F6248" w:rsidRPr="001C73BF">
        <w:t>y</w:t>
      </w:r>
      <w:r w:rsidR="005F7C7A" w:rsidRPr="001C73BF">
        <w:t xml:space="preserve"> vyňat</w:t>
      </w:r>
      <w:r w:rsidR="003F6248" w:rsidRPr="001C73BF">
        <w:t>y</w:t>
      </w:r>
      <w:r w:rsidR="005F7C7A" w:rsidRPr="001C73BF">
        <w:t xml:space="preserve"> adres</w:t>
      </w:r>
      <w:r w:rsidR="003F6248" w:rsidRPr="001C73BF">
        <w:t xml:space="preserve">y Lesní 1038/7, </w:t>
      </w:r>
      <w:r w:rsidR="005F7C7A" w:rsidRPr="001C73BF">
        <w:t>Masarykova 647/66</w:t>
      </w:r>
      <w:r w:rsidR="003F6248" w:rsidRPr="001C73BF">
        <w:t>, Masarykova 589/150</w:t>
      </w:r>
      <w:r w:rsidR="005F7C7A" w:rsidRPr="001C73BF">
        <w:t>).</w:t>
      </w:r>
      <w:r w:rsidR="00111D6C" w:rsidRPr="001C73BF">
        <w:t xml:space="preserve"> V souvislosti s těmto adresy nejsou vydány žádné rozhodnutí o povolení provozování</w:t>
      </w:r>
      <w:r w:rsidR="00511C19" w:rsidRPr="001C73BF">
        <w:t>. Dle informace z odboru BEZP MMP, provozovatelé byli seznámeni</w:t>
      </w:r>
      <w:r w:rsidR="00F30C4C" w:rsidRPr="001C73BF">
        <w:t xml:space="preserve">. V </w:t>
      </w:r>
      <w:r w:rsidR="00511C19" w:rsidRPr="001C73BF">
        <w:t>případě zájmu bude možné cca do 2 let vyhlášku novelizovat a místa znovu zařadit.</w:t>
      </w:r>
    </w:p>
    <w:p w:rsidR="008762AE" w:rsidRDefault="008762AE" w:rsidP="0069051E">
      <w:pPr>
        <w:spacing w:after="120"/>
        <w:jc w:val="both"/>
      </w:pPr>
      <w:r>
        <w:t xml:space="preserve">RMO P4 novelu projednala dne 3. 11. 2021 </w:t>
      </w:r>
      <w:r w:rsidR="00083FE6">
        <w:t xml:space="preserve">a </w:t>
      </w:r>
      <w:r>
        <w:t>svým usnesením doporučila ZMO P4 souhlasit s</w:t>
      </w:r>
      <w:r w:rsidR="00CB4111">
        <w:t> návrhem obecně závazné vyhlášky statutárního města Plzně č. …, kterou se mění vyhláška statutárního města Plzně č. 6/2017 o regulaci provozování hazardních her</w:t>
      </w:r>
      <w:r w:rsidR="00083FE6">
        <w:t>.</w:t>
      </w:r>
    </w:p>
    <w:p w:rsidR="00C443F5" w:rsidRPr="0084370D" w:rsidRDefault="00C443F5" w:rsidP="00C443F5">
      <w:pPr>
        <w:jc w:val="both"/>
        <w:rPr>
          <w:sz w:val="16"/>
          <w:szCs w:val="16"/>
        </w:rPr>
      </w:pPr>
    </w:p>
    <w:p w:rsidR="00974769" w:rsidRDefault="00974769">
      <w:pPr>
        <w:pStyle w:val="ostzahl"/>
      </w:pPr>
      <w:r>
        <w:lastRenderedPageBreak/>
        <w:t>Předpokládaný cílový stav</w:t>
      </w:r>
    </w:p>
    <w:p w:rsidR="00F5115B" w:rsidRPr="00020EFE" w:rsidRDefault="002277FA" w:rsidP="00F2552B">
      <w:pPr>
        <w:jc w:val="both"/>
      </w:pPr>
      <w:r>
        <w:t>Vydání stanoviska k</w:t>
      </w:r>
      <w:r w:rsidR="001E6D9B" w:rsidRPr="001E6D9B">
        <w:t xml:space="preserve"> novelizac</w:t>
      </w:r>
      <w:r>
        <w:t>i</w:t>
      </w:r>
      <w:r w:rsidR="001E6D9B" w:rsidRPr="001E6D9B">
        <w:t xml:space="preserve"> obecně vyhlášky č. 6/2017 o regulaci hazardních her na území města Plzně, kterou dojde k aktualizac</w:t>
      </w:r>
      <w:r w:rsidR="009D3C6B">
        <w:t>i</w:t>
      </w:r>
      <w:r w:rsidR="001E6D9B" w:rsidRPr="001E6D9B">
        <w:t xml:space="preserve"> přílohy č. 1 Vyhlášky, jejímž obsahem jsou místa, na nichž lze provozovat hazardní hry na území města Plzně.</w:t>
      </w:r>
    </w:p>
    <w:p w:rsidR="00974769" w:rsidRDefault="00974769">
      <w:pPr>
        <w:pStyle w:val="ostzahl"/>
      </w:pPr>
      <w:r>
        <w:t>Navrhované varianty řešení</w:t>
      </w:r>
    </w:p>
    <w:p w:rsidR="00083FE6" w:rsidRDefault="00083FE6" w:rsidP="00083FE6">
      <w:pPr>
        <w:pStyle w:val="vlevo"/>
        <w:numPr>
          <w:ilvl w:val="0"/>
          <w:numId w:val="2"/>
        </w:numPr>
      </w:pPr>
      <w:r>
        <w:t>doporučit RMP souhlasit a ZMP schválit návrh vyhlášky dle přílohy č. 1</w:t>
      </w:r>
    </w:p>
    <w:p w:rsidR="00083FE6" w:rsidRDefault="00083FE6" w:rsidP="00083FE6">
      <w:pPr>
        <w:pStyle w:val="vlevo"/>
        <w:numPr>
          <w:ilvl w:val="0"/>
          <w:numId w:val="2"/>
        </w:numPr>
      </w:pPr>
      <w:r>
        <w:t>nedoporučit RMP souhlasit a ZMP schválit návrh vyhlášky dle přílohy č. 1</w:t>
      </w:r>
    </w:p>
    <w:p w:rsidR="00083FE6" w:rsidRDefault="00083FE6" w:rsidP="00083FE6">
      <w:pPr>
        <w:pStyle w:val="vlevo"/>
        <w:numPr>
          <w:ilvl w:val="0"/>
          <w:numId w:val="2"/>
        </w:numPr>
      </w:pPr>
      <w:r>
        <w:t>jiná varianta návrhu usnesení</w:t>
      </w:r>
    </w:p>
    <w:p w:rsidR="00AB55DA" w:rsidRDefault="00AB55DA" w:rsidP="00083FE6">
      <w:pPr>
        <w:pStyle w:val="vlevo"/>
        <w:ind w:left="720"/>
      </w:pPr>
    </w:p>
    <w:p w:rsidR="00AB55DA" w:rsidRPr="0084370D" w:rsidRDefault="00AB55DA" w:rsidP="008D65B3">
      <w:pPr>
        <w:pStyle w:val="vlevo"/>
      </w:pPr>
    </w:p>
    <w:p w:rsidR="00974769" w:rsidRDefault="00974769">
      <w:pPr>
        <w:pStyle w:val="ostzahl"/>
      </w:pPr>
      <w:r>
        <w:t>Doporučená varianta řešení</w:t>
      </w:r>
    </w:p>
    <w:p w:rsidR="00525D65" w:rsidRDefault="007F3555" w:rsidP="008D65B3">
      <w:pPr>
        <w:pStyle w:val="vlevo"/>
      </w:pPr>
      <w:r>
        <w:t xml:space="preserve">Určí </w:t>
      </w:r>
      <w:r w:rsidR="00083FE6">
        <w:t>Z</w:t>
      </w:r>
      <w:r w:rsidR="007D276F">
        <w:t>MO</w:t>
      </w:r>
      <w:r w:rsidR="00426794">
        <w:t xml:space="preserve"> P4</w:t>
      </w:r>
      <w:r w:rsidR="00525D65">
        <w:t xml:space="preserve"> </w:t>
      </w:r>
    </w:p>
    <w:p w:rsidR="00AB55DA" w:rsidRPr="0084370D" w:rsidRDefault="00AB55DA" w:rsidP="008D65B3">
      <w:pPr>
        <w:pStyle w:val="vlevo"/>
      </w:pPr>
    </w:p>
    <w:p w:rsidR="00974769" w:rsidRDefault="00974769">
      <w:pPr>
        <w:pStyle w:val="ostzahl"/>
      </w:pPr>
      <w:r>
        <w:t>Finanční nároky řešení a možnosti finančního krytí</w:t>
      </w:r>
    </w:p>
    <w:p w:rsidR="00AB55DA" w:rsidRPr="008D65B3" w:rsidRDefault="008D65B3" w:rsidP="008D65B3">
      <w:pPr>
        <w:pStyle w:val="vlevo"/>
      </w:pPr>
      <w:r w:rsidRPr="008D65B3">
        <w:t>Neřeší se</w:t>
      </w:r>
    </w:p>
    <w:p w:rsidR="00615BD9" w:rsidRPr="0084370D" w:rsidRDefault="00615BD9" w:rsidP="008D65B3">
      <w:pPr>
        <w:pStyle w:val="vlevo"/>
      </w:pPr>
    </w:p>
    <w:p w:rsidR="00974769" w:rsidRDefault="00974769">
      <w:pPr>
        <w:pStyle w:val="ostzahl"/>
      </w:pPr>
      <w:r>
        <w:t>Návrh termínů realizace a určení zodpovědných pracovníků</w:t>
      </w:r>
    </w:p>
    <w:p w:rsidR="00974769" w:rsidRDefault="00AB55DA" w:rsidP="008D65B3">
      <w:pPr>
        <w:pStyle w:val="vlevo"/>
      </w:pPr>
      <w:r>
        <w:t>Zodpovídá:</w:t>
      </w:r>
      <w:r>
        <w:tab/>
      </w:r>
      <w:r w:rsidR="00BB670D">
        <w:t>FIN ÚMO P4</w:t>
      </w:r>
      <w:r w:rsidR="00F95F8E">
        <w:tab/>
      </w:r>
      <w:r w:rsidR="00F95F8E">
        <w:tab/>
      </w:r>
      <w:r w:rsidR="00F95F8E">
        <w:tab/>
      </w:r>
      <w:r w:rsidR="00BA730E">
        <w:t xml:space="preserve"> </w:t>
      </w:r>
      <w:r w:rsidR="00FB26B4">
        <w:tab/>
      </w:r>
      <w:r w:rsidR="00F95F8E">
        <w:t xml:space="preserve">Termín: </w:t>
      </w:r>
      <w:r w:rsidR="00516B0B">
        <w:t>31</w:t>
      </w:r>
      <w:r w:rsidR="002277FA">
        <w:t>. 12</w:t>
      </w:r>
      <w:r w:rsidR="009B3B03" w:rsidRPr="001354E7">
        <w:t>. 202</w:t>
      </w:r>
      <w:r w:rsidR="00020EFE">
        <w:t>1</w:t>
      </w:r>
    </w:p>
    <w:p w:rsidR="00974769" w:rsidRDefault="00974769" w:rsidP="008D65B3">
      <w:pPr>
        <w:pStyle w:val="vlevo"/>
      </w:pPr>
    </w:p>
    <w:p w:rsidR="00E40BEF" w:rsidRDefault="00974769" w:rsidP="008D65B3">
      <w:pPr>
        <w:pStyle w:val="vlevo"/>
      </w:pPr>
      <w:r>
        <w:t>Přílohy:</w:t>
      </w:r>
    </w:p>
    <w:p w:rsidR="00193B2F" w:rsidRPr="009B3B03" w:rsidRDefault="00193B2F" w:rsidP="008D65B3">
      <w:pPr>
        <w:pStyle w:val="vlevo"/>
        <w:numPr>
          <w:ilvl w:val="0"/>
          <w:numId w:val="4"/>
        </w:numPr>
      </w:pPr>
      <w:r w:rsidRPr="009B3B03">
        <w:t xml:space="preserve">návrh </w:t>
      </w:r>
      <w:r w:rsidR="00020EFE">
        <w:t>o</w:t>
      </w:r>
      <w:r w:rsidR="00020EFE" w:rsidRPr="00020EFE">
        <w:t>becně závazn</w:t>
      </w:r>
      <w:r w:rsidR="00020EFE">
        <w:t>é</w:t>
      </w:r>
      <w:r w:rsidR="00020EFE" w:rsidRPr="00020EFE">
        <w:t xml:space="preserve"> vyhlášk</w:t>
      </w:r>
      <w:r w:rsidR="00020EFE">
        <w:t>y</w:t>
      </w:r>
      <w:r w:rsidR="00020EFE" w:rsidRPr="00020EFE">
        <w:t xml:space="preserve"> statutárního města Plzně č</w:t>
      </w:r>
      <w:proofErr w:type="gramStart"/>
      <w:r w:rsidR="00020EFE" w:rsidRPr="00020EFE">
        <w:t>…….</w:t>
      </w:r>
      <w:proofErr w:type="gramEnd"/>
      <w:r w:rsidR="00020EFE" w:rsidRPr="00020EFE">
        <w:t xml:space="preserve">, kterou se mění vyhláška </w:t>
      </w:r>
      <w:bookmarkStart w:id="2" w:name="_Hlk67311996"/>
      <w:r w:rsidR="00020EFE" w:rsidRPr="00020EFE">
        <w:t>statutárního města Plzně č. 6/2017 o regulaci provozování hazardních her</w:t>
      </w:r>
      <w:bookmarkEnd w:id="2"/>
      <w:r w:rsidR="00F5115B" w:rsidRPr="009B3B03">
        <w:t xml:space="preserve">, </w:t>
      </w:r>
    </w:p>
    <w:p w:rsidR="00F5115B" w:rsidRPr="009B3B03" w:rsidRDefault="009F6B1E" w:rsidP="008D65B3">
      <w:pPr>
        <w:pStyle w:val="vlevo"/>
        <w:numPr>
          <w:ilvl w:val="0"/>
          <w:numId w:val="4"/>
        </w:numPr>
      </w:pPr>
      <w:r>
        <w:t>n</w:t>
      </w:r>
      <w:r w:rsidR="009B3B03" w:rsidRPr="009B3B03">
        <w:t xml:space="preserve">yní platná </w:t>
      </w:r>
      <w:bookmarkStart w:id="3" w:name="_Hlk86135582"/>
      <w:r w:rsidR="009B3B03" w:rsidRPr="009B3B03">
        <w:t xml:space="preserve">vyhláška </w:t>
      </w:r>
      <w:r w:rsidRPr="009F6B1E">
        <w:t>statutárního města Plzně č. 6/2017 o regulaci provozování hazardních her</w:t>
      </w:r>
      <w:bookmarkEnd w:id="3"/>
      <w:r w:rsidR="00E10678">
        <w:t>,</w:t>
      </w:r>
    </w:p>
    <w:p w:rsidR="009F6B1E" w:rsidRPr="009F6B1E" w:rsidRDefault="009F6B1E" w:rsidP="008D65B3">
      <w:pPr>
        <w:pStyle w:val="vlevo"/>
        <w:numPr>
          <w:ilvl w:val="0"/>
          <w:numId w:val="4"/>
        </w:numPr>
        <w:rPr>
          <w:b/>
          <w:bCs/>
        </w:rPr>
      </w:pPr>
      <w:r w:rsidRPr="009F6B1E">
        <w:t xml:space="preserve">email odboru </w:t>
      </w:r>
      <w:bookmarkStart w:id="4" w:name="_Hlk67313336"/>
      <w:r w:rsidRPr="009F6B1E">
        <w:t xml:space="preserve">bezpečnosti, prevence kriminality a </w:t>
      </w:r>
      <w:proofErr w:type="spellStart"/>
      <w:r w:rsidRPr="009F6B1E">
        <w:t>kriz</w:t>
      </w:r>
      <w:proofErr w:type="spellEnd"/>
      <w:r w:rsidRPr="009F6B1E">
        <w:t>. řízení MMP</w:t>
      </w:r>
      <w:bookmarkEnd w:id="4"/>
      <w:r w:rsidRPr="009F6B1E">
        <w:t xml:space="preserve"> ze dne </w:t>
      </w:r>
      <w:r w:rsidR="002277FA">
        <w:t>12. 10</w:t>
      </w:r>
      <w:r w:rsidRPr="009F6B1E">
        <w:t>. 2021</w:t>
      </w:r>
      <w:r w:rsidR="00E10678">
        <w:t>,</w:t>
      </w:r>
    </w:p>
    <w:p w:rsidR="00E10678" w:rsidRDefault="00E10678" w:rsidP="008D65B3">
      <w:pPr>
        <w:pStyle w:val="vlevo"/>
        <w:numPr>
          <w:ilvl w:val="0"/>
          <w:numId w:val="4"/>
        </w:numPr>
        <w:rPr>
          <w:bCs/>
        </w:rPr>
      </w:pPr>
      <w:r>
        <w:rPr>
          <w:bCs/>
        </w:rPr>
        <w:t>u</w:t>
      </w:r>
      <w:r w:rsidRPr="00E10678">
        <w:rPr>
          <w:bCs/>
        </w:rPr>
        <w:t xml:space="preserve">snesení RMP č. </w:t>
      </w:r>
      <w:r w:rsidR="00BC74EA">
        <w:rPr>
          <w:bCs/>
        </w:rPr>
        <w:t>689</w:t>
      </w:r>
      <w:r w:rsidRPr="00E10678">
        <w:rPr>
          <w:bCs/>
        </w:rPr>
        <w:t xml:space="preserve"> ze dne </w:t>
      </w:r>
      <w:r w:rsidR="00BC74EA">
        <w:rPr>
          <w:bCs/>
        </w:rPr>
        <w:t>28</w:t>
      </w:r>
      <w:r w:rsidRPr="00E10678">
        <w:rPr>
          <w:bCs/>
        </w:rPr>
        <w:t xml:space="preserve">. </w:t>
      </w:r>
      <w:r w:rsidR="00BC74EA">
        <w:rPr>
          <w:bCs/>
        </w:rPr>
        <w:t>6</w:t>
      </w:r>
      <w:r w:rsidRPr="00E10678">
        <w:rPr>
          <w:bCs/>
        </w:rPr>
        <w:t>. 20</w:t>
      </w:r>
      <w:r w:rsidR="00BC74EA">
        <w:rPr>
          <w:bCs/>
        </w:rPr>
        <w:t>21</w:t>
      </w:r>
      <w:r w:rsidRPr="00E10678">
        <w:rPr>
          <w:bCs/>
        </w:rPr>
        <w:t>, kterým byl schválen</w:t>
      </w:r>
      <w:r w:rsidR="00BC74EA">
        <w:rPr>
          <w:bCs/>
        </w:rPr>
        <w:t xml:space="preserve"> záměr novelizace </w:t>
      </w:r>
      <w:r w:rsidR="00BC74EA" w:rsidRPr="00BC74EA">
        <w:rPr>
          <w:bCs/>
        </w:rPr>
        <w:t>vyhlášk</w:t>
      </w:r>
      <w:r w:rsidR="00BC74EA">
        <w:rPr>
          <w:bCs/>
        </w:rPr>
        <w:t>y</w:t>
      </w:r>
      <w:r w:rsidR="00BC74EA" w:rsidRPr="00BC74EA">
        <w:rPr>
          <w:bCs/>
        </w:rPr>
        <w:t xml:space="preserve"> statutárního města Plzně č. 6/2017 o regulaci provozování hazardních her</w:t>
      </w:r>
      <w:r w:rsidRPr="00E10678">
        <w:rPr>
          <w:bCs/>
        </w:rPr>
        <w:t xml:space="preserve"> </w:t>
      </w:r>
      <w:r w:rsidR="00BC74EA">
        <w:rPr>
          <w:bCs/>
        </w:rPr>
        <w:t xml:space="preserve">a </w:t>
      </w:r>
      <w:r w:rsidRPr="00E10678">
        <w:rPr>
          <w:bCs/>
        </w:rPr>
        <w:t>kritéria pro regulac</w:t>
      </w:r>
      <w:r w:rsidR="00BC74EA">
        <w:rPr>
          <w:bCs/>
        </w:rPr>
        <w:t>i</w:t>
      </w:r>
      <w:r w:rsidRPr="00E10678">
        <w:rPr>
          <w:bCs/>
        </w:rPr>
        <w:t xml:space="preserve"> hazardních her na území města Plzně</w:t>
      </w:r>
      <w:r>
        <w:rPr>
          <w:bCs/>
        </w:rPr>
        <w:t>,</w:t>
      </w:r>
    </w:p>
    <w:p w:rsidR="00516B0B" w:rsidRDefault="00516B0B" w:rsidP="008D65B3">
      <w:pPr>
        <w:pStyle w:val="vlevo"/>
        <w:numPr>
          <w:ilvl w:val="0"/>
          <w:numId w:val="4"/>
        </w:numPr>
        <w:rPr>
          <w:bCs/>
        </w:rPr>
      </w:pPr>
      <w:r w:rsidRPr="00516B0B">
        <w:rPr>
          <w:bCs/>
        </w:rPr>
        <w:t>usnesení RMO Plzeň 4 č.</w:t>
      </w:r>
      <w:r>
        <w:rPr>
          <w:bCs/>
        </w:rPr>
        <w:t xml:space="preserve"> 183</w:t>
      </w:r>
      <w:r w:rsidRPr="00516B0B">
        <w:rPr>
          <w:bCs/>
        </w:rPr>
        <w:t xml:space="preserve">/21 ze dne </w:t>
      </w:r>
      <w:r>
        <w:rPr>
          <w:bCs/>
        </w:rPr>
        <w:t>3</w:t>
      </w:r>
      <w:r w:rsidRPr="00516B0B">
        <w:rPr>
          <w:bCs/>
        </w:rPr>
        <w:t xml:space="preserve">. </w:t>
      </w:r>
      <w:r>
        <w:rPr>
          <w:bCs/>
        </w:rPr>
        <w:t>11</w:t>
      </w:r>
      <w:r w:rsidRPr="00516B0B">
        <w:rPr>
          <w:bCs/>
        </w:rPr>
        <w:t>. 2021</w:t>
      </w:r>
    </w:p>
    <w:p w:rsidR="00615BD9" w:rsidRPr="009B3B03" w:rsidRDefault="00615BD9" w:rsidP="008D65B3">
      <w:pPr>
        <w:pStyle w:val="vlevo"/>
      </w:pPr>
      <w:bookmarkStart w:id="5" w:name="_GoBack"/>
      <w:bookmarkEnd w:id="5"/>
    </w:p>
    <w:sectPr w:rsidR="00615BD9" w:rsidRPr="009B3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345"/>
    <w:multiLevelType w:val="hybridMultilevel"/>
    <w:tmpl w:val="0C3E1582"/>
    <w:lvl w:ilvl="0" w:tplc="A176B09E">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 w15:restartNumberingAfterBreak="0">
    <w:nsid w:val="011E130D"/>
    <w:multiLevelType w:val="hybridMultilevel"/>
    <w:tmpl w:val="221871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FA3641"/>
    <w:multiLevelType w:val="singleLevel"/>
    <w:tmpl w:val="42C6F40A"/>
    <w:lvl w:ilvl="0">
      <w:start w:val="1"/>
      <w:numFmt w:val="decimal"/>
      <w:pStyle w:val="ostzahl"/>
      <w:lvlText w:val="%1."/>
      <w:lvlJc w:val="left"/>
      <w:pPr>
        <w:tabs>
          <w:tab w:val="num" w:pos="360"/>
        </w:tabs>
        <w:ind w:left="360" w:hanging="360"/>
      </w:pPr>
    </w:lvl>
  </w:abstractNum>
  <w:abstractNum w:abstractNumId="3" w15:restartNumberingAfterBreak="0">
    <w:nsid w:val="13FD1704"/>
    <w:multiLevelType w:val="hybridMultilevel"/>
    <w:tmpl w:val="53F67E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B24A7D"/>
    <w:multiLevelType w:val="hybridMultilevel"/>
    <w:tmpl w:val="3E3E2712"/>
    <w:lvl w:ilvl="0" w:tplc="602AB79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EE15CB"/>
    <w:multiLevelType w:val="hybridMultilevel"/>
    <w:tmpl w:val="8070AE8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49D447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03093F"/>
    <w:multiLevelType w:val="hybridMultilevel"/>
    <w:tmpl w:val="AD96013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5A70878"/>
    <w:multiLevelType w:val="hybridMultilevel"/>
    <w:tmpl w:val="27C033AA"/>
    <w:lvl w:ilvl="0" w:tplc="88E8D0E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36FB754A"/>
    <w:multiLevelType w:val="hybridMultilevel"/>
    <w:tmpl w:val="72D03706"/>
    <w:lvl w:ilvl="0" w:tplc="A8D8190E">
      <w:start w:val="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15:restartNumberingAfterBreak="0">
    <w:nsid w:val="42C94E83"/>
    <w:multiLevelType w:val="hybridMultilevel"/>
    <w:tmpl w:val="359E381A"/>
    <w:lvl w:ilvl="0" w:tplc="A5DA1BDC">
      <w:start w:val="1"/>
      <w:numFmt w:val="decimal"/>
      <w:lvlText w:val="%1."/>
      <w:lvlJc w:val="left"/>
      <w:pPr>
        <w:ind w:left="720" w:hanging="360"/>
      </w:pPr>
      <w:rPr>
        <w:rFonts w:ascii="Times New Roman" w:hAnsi="Times New Roman" w:cs="Times New Roman"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1574FF"/>
    <w:multiLevelType w:val="hybridMultilevel"/>
    <w:tmpl w:val="A9964BC8"/>
    <w:lvl w:ilvl="0" w:tplc="8D601E8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971491"/>
    <w:multiLevelType w:val="hybridMultilevel"/>
    <w:tmpl w:val="B98CB9B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B2654AE"/>
    <w:multiLevelType w:val="hybridMultilevel"/>
    <w:tmpl w:val="969693A6"/>
    <w:lvl w:ilvl="0" w:tplc="096498F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7008AF"/>
    <w:multiLevelType w:val="hybridMultilevel"/>
    <w:tmpl w:val="359E381A"/>
    <w:lvl w:ilvl="0" w:tplc="A5DA1BDC">
      <w:start w:val="1"/>
      <w:numFmt w:val="decimal"/>
      <w:lvlText w:val="%1."/>
      <w:lvlJc w:val="left"/>
      <w:pPr>
        <w:ind w:left="720" w:hanging="360"/>
      </w:pPr>
      <w:rPr>
        <w:rFonts w:ascii="Times New Roman" w:hAnsi="Times New Roman" w:cs="Times New Roman"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E158AC"/>
    <w:multiLevelType w:val="hybridMultilevel"/>
    <w:tmpl w:val="BF5CE214"/>
    <w:lvl w:ilvl="0" w:tplc="BEC2A47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2"/>
    <w:lvlOverride w:ilvl="0">
      <w:startOverride w:val="1"/>
    </w:lvlOverride>
  </w:num>
  <w:num w:numId="2">
    <w:abstractNumId w:val="5"/>
  </w:num>
  <w:num w:numId="3">
    <w:abstractNumId w:val="0"/>
  </w:num>
  <w:num w:numId="4">
    <w:abstractNumId w:val="10"/>
  </w:num>
  <w:num w:numId="5">
    <w:abstractNumId w:val="4"/>
  </w:num>
  <w:num w:numId="6">
    <w:abstractNumId w:val="13"/>
  </w:num>
  <w:num w:numId="7">
    <w:abstractNumId w:val="1"/>
  </w:num>
  <w:num w:numId="8">
    <w:abstractNumId w:val="2"/>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7"/>
  </w:num>
  <w:num w:numId="13">
    <w:abstractNumId w:val="14"/>
  </w:num>
  <w:num w:numId="14">
    <w:abstractNumId w:val="11"/>
  </w:num>
  <w:num w:numId="15">
    <w:abstractNumId w:val="6"/>
  </w:num>
  <w:num w:numId="16">
    <w:abstractNumId w:val="3"/>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69"/>
    <w:rsid w:val="000134F8"/>
    <w:rsid w:val="0001433E"/>
    <w:rsid w:val="00020EFE"/>
    <w:rsid w:val="0008222E"/>
    <w:rsid w:val="00083FE6"/>
    <w:rsid w:val="00094654"/>
    <w:rsid w:val="00111D6C"/>
    <w:rsid w:val="00124267"/>
    <w:rsid w:val="001354E7"/>
    <w:rsid w:val="00193B2F"/>
    <w:rsid w:val="0019476D"/>
    <w:rsid w:val="001C73BF"/>
    <w:rsid w:val="001E6D9B"/>
    <w:rsid w:val="001F7DE5"/>
    <w:rsid w:val="002277FA"/>
    <w:rsid w:val="002A3800"/>
    <w:rsid w:val="002D6EE1"/>
    <w:rsid w:val="002F0EDB"/>
    <w:rsid w:val="002F5A1F"/>
    <w:rsid w:val="003175E2"/>
    <w:rsid w:val="00364E81"/>
    <w:rsid w:val="003967D7"/>
    <w:rsid w:val="003C2112"/>
    <w:rsid w:val="003F6248"/>
    <w:rsid w:val="003F7BE1"/>
    <w:rsid w:val="00405AEC"/>
    <w:rsid w:val="00426794"/>
    <w:rsid w:val="004535C5"/>
    <w:rsid w:val="0045443D"/>
    <w:rsid w:val="00497AA7"/>
    <w:rsid w:val="004E6B97"/>
    <w:rsid w:val="0051176C"/>
    <w:rsid w:val="00511C19"/>
    <w:rsid w:val="00516B0B"/>
    <w:rsid w:val="00525D65"/>
    <w:rsid w:val="005433CC"/>
    <w:rsid w:val="00557FBA"/>
    <w:rsid w:val="0056542E"/>
    <w:rsid w:val="005A2D9E"/>
    <w:rsid w:val="005C5DB6"/>
    <w:rsid w:val="005D3E67"/>
    <w:rsid w:val="005F7C7A"/>
    <w:rsid w:val="00615BD9"/>
    <w:rsid w:val="0069051E"/>
    <w:rsid w:val="0069702F"/>
    <w:rsid w:val="007225F2"/>
    <w:rsid w:val="007947BD"/>
    <w:rsid w:val="007B2503"/>
    <w:rsid w:val="007D276F"/>
    <w:rsid w:val="007F3555"/>
    <w:rsid w:val="008400D8"/>
    <w:rsid w:val="0084370D"/>
    <w:rsid w:val="008470D2"/>
    <w:rsid w:val="00857325"/>
    <w:rsid w:val="008650A5"/>
    <w:rsid w:val="008762AE"/>
    <w:rsid w:val="008D65B3"/>
    <w:rsid w:val="00910FD4"/>
    <w:rsid w:val="00974769"/>
    <w:rsid w:val="009B3B03"/>
    <w:rsid w:val="009B6787"/>
    <w:rsid w:val="009D3C6B"/>
    <w:rsid w:val="009F1DC5"/>
    <w:rsid w:val="009F6B1E"/>
    <w:rsid w:val="00A3122D"/>
    <w:rsid w:val="00A97069"/>
    <w:rsid w:val="00AB298C"/>
    <w:rsid w:val="00AB55DA"/>
    <w:rsid w:val="00AB6E0D"/>
    <w:rsid w:val="00AC09CD"/>
    <w:rsid w:val="00B11E3D"/>
    <w:rsid w:val="00B30B5B"/>
    <w:rsid w:val="00B52565"/>
    <w:rsid w:val="00BA0F91"/>
    <w:rsid w:val="00BA730E"/>
    <w:rsid w:val="00BB670D"/>
    <w:rsid w:val="00BC74EA"/>
    <w:rsid w:val="00BE3743"/>
    <w:rsid w:val="00C443F5"/>
    <w:rsid w:val="00C51D08"/>
    <w:rsid w:val="00C6584B"/>
    <w:rsid w:val="00C85A42"/>
    <w:rsid w:val="00CB4111"/>
    <w:rsid w:val="00CC3A83"/>
    <w:rsid w:val="00D468E5"/>
    <w:rsid w:val="00D52C37"/>
    <w:rsid w:val="00D77EFC"/>
    <w:rsid w:val="00DA3BA3"/>
    <w:rsid w:val="00DB14B0"/>
    <w:rsid w:val="00E10678"/>
    <w:rsid w:val="00E31724"/>
    <w:rsid w:val="00E40BEF"/>
    <w:rsid w:val="00E970D9"/>
    <w:rsid w:val="00EA69FF"/>
    <w:rsid w:val="00EB2D12"/>
    <w:rsid w:val="00F2552B"/>
    <w:rsid w:val="00F30C4C"/>
    <w:rsid w:val="00F5115B"/>
    <w:rsid w:val="00F82932"/>
    <w:rsid w:val="00F95F8E"/>
    <w:rsid w:val="00FB26B4"/>
    <w:rsid w:val="00FB5EB7"/>
    <w:rsid w:val="00FD198B"/>
    <w:rsid w:val="00FE320D"/>
    <w:rsid w:val="00FF6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AC31D"/>
  <w15:docId w15:val="{9A1E8761-3173-4BC2-B032-5270945C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5">
    <w:name w:val="heading 5"/>
    <w:basedOn w:val="Normln"/>
    <w:next w:val="Normln"/>
    <w:link w:val="Nadpis5Char"/>
    <w:semiHidden/>
    <w:unhideWhenUsed/>
    <w:qFormat/>
    <w:rsid w:val="00E40BEF"/>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153"/>
        <w:tab w:val="right" w:pos="8306"/>
      </w:tabs>
      <w:ind w:firstLine="720"/>
    </w:pPr>
    <w:rPr>
      <w:sz w:val="22"/>
      <w:szCs w:val="20"/>
    </w:rPr>
  </w:style>
  <w:style w:type="paragraph" w:customStyle="1" w:styleId="vlevo">
    <w:name w:val="vlevo"/>
    <w:basedOn w:val="Normln"/>
    <w:autoRedefine/>
    <w:rsid w:val="008D65B3"/>
    <w:pPr>
      <w:jc w:val="both"/>
    </w:pPr>
    <w:rPr>
      <w:szCs w:val="20"/>
    </w:rPr>
  </w:style>
  <w:style w:type="paragraph" w:customStyle="1" w:styleId="nadpcent">
    <w:name w:val="nadpcent"/>
    <w:basedOn w:val="Normln"/>
    <w:next w:val="vlevo"/>
    <w:autoRedefine/>
    <w:pPr>
      <w:spacing w:after="480"/>
      <w:jc w:val="center"/>
    </w:pPr>
    <w:rPr>
      <w:b/>
      <w:caps/>
      <w:spacing w:val="22"/>
      <w:szCs w:val="20"/>
      <w:lang w:val="de-DE"/>
    </w:rPr>
  </w:style>
  <w:style w:type="paragraph" w:customStyle="1" w:styleId="ostzahl">
    <w:name w:val="ostzahl"/>
    <w:basedOn w:val="Normln"/>
    <w:next w:val="vlevo"/>
    <w:autoRedefine/>
    <w:pPr>
      <w:numPr>
        <w:numId w:val="1"/>
      </w:numPr>
      <w:spacing w:before="120" w:after="120"/>
      <w:ind w:left="357" w:hanging="357"/>
    </w:pPr>
    <w:rPr>
      <w:b/>
      <w:spacing w:val="22"/>
      <w:szCs w:val="20"/>
    </w:rPr>
  </w:style>
  <w:style w:type="paragraph" w:styleId="Zkladntextodsazen">
    <w:name w:val="Body Text Indent"/>
    <w:basedOn w:val="Normln"/>
    <w:link w:val="ZkladntextodsazenChar"/>
    <w:rsid w:val="00E970D9"/>
    <w:pPr>
      <w:ind w:left="60"/>
      <w:jc w:val="both"/>
    </w:pPr>
    <w:rPr>
      <w:rFonts w:ascii="Arial" w:hAnsi="Arial"/>
      <w:sz w:val="22"/>
      <w:szCs w:val="20"/>
    </w:rPr>
  </w:style>
  <w:style w:type="character" w:customStyle="1" w:styleId="ZkladntextodsazenChar">
    <w:name w:val="Základní text odsazený Char"/>
    <w:link w:val="Zkladntextodsazen"/>
    <w:rsid w:val="00E970D9"/>
    <w:rPr>
      <w:rFonts w:ascii="Arial" w:hAnsi="Arial"/>
      <w:sz w:val="22"/>
    </w:rPr>
  </w:style>
  <w:style w:type="paragraph" w:styleId="Zkladntextodsazen2">
    <w:name w:val="Body Text Indent 2"/>
    <w:basedOn w:val="Normln"/>
    <w:link w:val="Zkladntextodsazen2Char"/>
    <w:rsid w:val="00E970D9"/>
    <w:pPr>
      <w:spacing w:after="120" w:line="480" w:lineRule="auto"/>
      <w:ind w:left="283"/>
    </w:pPr>
  </w:style>
  <w:style w:type="character" w:customStyle="1" w:styleId="Zkladntextodsazen2Char">
    <w:name w:val="Základní text odsazený 2 Char"/>
    <w:link w:val="Zkladntextodsazen2"/>
    <w:rsid w:val="00E970D9"/>
    <w:rPr>
      <w:sz w:val="24"/>
      <w:szCs w:val="24"/>
    </w:rPr>
  </w:style>
  <w:style w:type="character" w:customStyle="1" w:styleId="Nadpis5Char">
    <w:name w:val="Nadpis 5 Char"/>
    <w:link w:val="Nadpis5"/>
    <w:semiHidden/>
    <w:rsid w:val="00E40BEF"/>
    <w:rPr>
      <w:rFonts w:ascii="Calibri" w:eastAsia="Times New Roman" w:hAnsi="Calibri" w:cs="Times New Roman"/>
      <w:b/>
      <w:bCs/>
      <w:i/>
      <w:iCs/>
      <w:sz w:val="26"/>
      <w:szCs w:val="26"/>
    </w:rPr>
  </w:style>
  <w:style w:type="paragraph" w:styleId="Textbubliny">
    <w:name w:val="Balloon Text"/>
    <w:basedOn w:val="Normln"/>
    <w:link w:val="TextbublinyChar"/>
    <w:rsid w:val="00FF6DAD"/>
    <w:rPr>
      <w:rFonts w:ascii="Tahoma" w:hAnsi="Tahoma" w:cs="Tahoma"/>
      <w:sz w:val="16"/>
      <w:szCs w:val="16"/>
    </w:rPr>
  </w:style>
  <w:style w:type="character" w:customStyle="1" w:styleId="TextbublinyChar">
    <w:name w:val="Text bubliny Char"/>
    <w:link w:val="Textbubliny"/>
    <w:rsid w:val="00FF6DAD"/>
    <w:rPr>
      <w:rFonts w:ascii="Tahoma" w:hAnsi="Tahoma" w:cs="Tahoma"/>
      <w:sz w:val="16"/>
      <w:szCs w:val="16"/>
    </w:rPr>
  </w:style>
  <w:style w:type="paragraph" w:styleId="Odstavecseseznamem">
    <w:name w:val="List Paragraph"/>
    <w:basedOn w:val="Normln"/>
    <w:uiPriority w:val="34"/>
    <w:qFormat/>
    <w:rsid w:val="00A97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7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2388</Words>
  <Characters>13252</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DŮVODOVÁ ZPRÁVA</vt:lpstr>
    </vt:vector>
  </TitlesOfParts>
  <Company>SIT</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pelcrova</dc:creator>
  <cp:lastModifiedBy>Majerová Štěpánka</cp:lastModifiedBy>
  <cp:revision>2</cp:revision>
  <cp:lastPrinted>2021-10-26T08:23:00Z</cp:lastPrinted>
  <dcterms:created xsi:type="dcterms:W3CDTF">2021-11-23T10:11:00Z</dcterms:created>
  <dcterms:modified xsi:type="dcterms:W3CDTF">2021-11-23T10:11:00Z</dcterms:modified>
</cp:coreProperties>
</file>