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05" w:rsidRDefault="00953805" w:rsidP="00953805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953805" w:rsidRPr="00953805" w:rsidRDefault="00953805" w:rsidP="00953805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52/2018</w:t>
      </w:r>
      <w:bookmarkStart w:id="0" w:name="_GoBack"/>
      <w:bookmarkEnd w:id="0"/>
    </w:p>
    <w:p w:rsidR="00953805" w:rsidRDefault="00953805" w:rsidP="00953805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953805" w:rsidRPr="00E65BD4" w:rsidRDefault="00953805" w:rsidP="00953805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EAP/1: k návrhu starosty MO Plzeň 2 – Slovany ve věci změny obecně závazné Vyhlášky statutárního města Plzně č. 2/2004, o místním poplatku za užívání veřejného prostranství </w:t>
      </w:r>
    </w:p>
    <w:p w:rsidR="00953805" w:rsidRDefault="00953805" w:rsidP="00953805">
      <w:pPr>
        <w:tabs>
          <w:tab w:val="left" w:pos="360"/>
          <w:tab w:val="left" w:pos="709"/>
          <w:tab w:val="left" w:pos="1843"/>
        </w:tabs>
        <w:jc w:val="both"/>
        <w:rPr>
          <w:bCs/>
          <w:szCs w:val="24"/>
        </w:rPr>
      </w:pPr>
    </w:p>
    <w:p w:rsidR="00953805" w:rsidRDefault="00953805" w:rsidP="00953805">
      <w:pPr>
        <w:tabs>
          <w:tab w:val="left" w:pos="426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953805" w:rsidRDefault="00953805" w:rsidP="00953805">
      <w:pPr>
        <w:tabs>
          <w:tab w:val="left" w:pos="426"/>
          <w:tab w:val="left" w:pos="6237"/>
        </w:tabs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  <w:t>b e r e    n a   v ě d o m í</w:t>
      </w:r>
      <w:proofErr w:type="gramEnd"/>
    </w:p>
    <w:p w:rsidR="00953805" w:rsidRPr="00A43D0B" w:rsidRDefault="00953805" w:rsidP="00953805">
      <w:pPr>
        <w:tabs>
          <w:tab w:val="left" w:pos="426"/>
          <w:tab w:val="left" w:pos="6237"/>
        </w:tabs>
        <w:ind w:left="426"/>
        <w:jc w:val="both"/>
        <w:rPr>
          <w:bCs/>
          <w:szCs w:val="24"/>
        </w:rPr>
      </w:pPr>
      <w:r>
        <w:rPr>
          <w:bCs/>
          <w:szCs w:val="24"/>
        </w:rPr>
        <w:t xml:space="preserve">návrh změny obecně závazné Vyhlášky statutárního města Plzně č. 2/2004, o místním poplatku za užívání veřejného prostranství, ve znění vyhlášek statutárního města </w:t>
      </w:r>
      <w:proofErr w:type="gramStart"/>
      <w:r>
        <w:rPr>
          <w:bCs/>
          <w:szCs w:val="24"/>
        </w:rPr>
        <w:t>Plzně   č.</w:t>
      </w:r>
      <w:proofErr w:type="gramEnd"/>
      <w:r>
        <w:rPr>
          <w:bCs/>
          <w:szCs w:val="24"/>
        </w:rPr>
        <w:t xml:space="preserve"> 7/2004, 10/2005, 16/2005, 9/2006, 8/2010, 4/2011, 1/2012, 8/2012, 8/2013, 6/2016, 4/2017 a 5/2018, s účinností od 1. ledna 2019</w:t>
      </w:r>
    </w:p>
    <w:p w:rsidR="00953805" w:rsidRDefault="00953805" w:rsidP="00953805">
      <w:pPr>
        <w:tabs>
          <w:tab w:val="left" w:pos="426"/>
          <w:tab w:val="left" w:pos="709"/>
          <w:tab w:val="left" w:pos="993"/>
          <w:tab w:val="left" w:pos="6237"/>
        </w:tabs>
        <w:ind w:left="705" w:hanging="279"/>
        <w:jc w:val="both"/>
        <w:rPr>
          <w:bCs/>
          <w:szCs w:val="24"/>
        </w:rPr>
      </w:pPr>
    </w:p>
    <w:p w:rsidR="00953805" w:rsidRDefault="00953805" w:rsidP="00953805">
      <w:pPr>
        <w:tabs>
          <w:tab w:val="left" w:pos="426"/>
          <w:tab w:val="left" w:pos="709"/>
          <w:tab w:val="left" w:pos="6237"/>
        </w:tabs>
        <w:ind w:left="705" w:hanging="705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o u h l a s í</w:t>
      </w:r>
      <w:proofErr w:type="gramEnd"/>
      <w:r>
        <w:rPr>
          <w:b/>
          <w:bCs/>
          <w:szCs w:val="24"/>
        </w:rPr>
        <w:t xml:space="preserve"> </w:t>
      </w:r>
    </w:p>
    <w:p w:rsidR="00953805" w:rsidRDefault="00953805" w:rsidP="00953805">
      <w:pPr>
        <w:tabs>
          <w:tab w:val="left" w:pos="426"/>
          <w:tab w:val="left" w:pos="6237"/>
        </w:tabs>
        <w:ind w:left="426"/>
        <w:jc w:val="both"/>
        <w:rPr>
          <w:bCs/>
          <w:szCs w:val="24"/>
        </w:rPr>
      </w:pPr>
      <w:r w:rsidRPr="008E17B6">
        <w:rPr>
          <w:b/>
          <w:bCs/>
          <w:szCs w:val="24"/>
        </w:rPr>
        <w:t xml:space="preserve">s návrhem změny obecně závazné </w:t>
      </w:r>
      <w:r>
        <w:rPr>
          <w:b/>
          <w:bCs/>
          <w:szCs w:val="24"/>
        </w:rPr>
        <w:t>V</w:t>
      </w:r>
      <w:r w:rsidRPr="008E17B6">
        <w:rPr>
          <w:b/>
          <w:bCs/>
          <w:szCs w:val="24"/>
        </w:rPr>
        <w:t xml:space="preserve">yhlášky statutárního města Plzně č. </w:t>
      </w:r>
      <w:proofErr w:type="gramStart"/>
      <w:r>
        <w:rPr>
          <w:b/>
          <w:bCs/>
          <w:szCs w:val="24"/>
        </w:rPr>
        <w:t>2</w:t>
      </w:r>
      <w:r w:rsidRPr="008E17B6">
        <w:rPr>
          <w:b/>
          <w:bCs/>
          <w:szCs w:val="24"/>
        </w:rPr>
        <w:t>/200</w:t>
      </w:r>
      <w:r>
        <w:rPr>
          <w:b/>
          <w:bCs/>
          <w:szCs w:val="24"/>
        </w:rPr>
        <w:t>4</w:t>
      </w:r>
      <w:r>
        <w:rPr>
          <w:bCs/>
          <w:szCs w:val="24"/>
        </w:rPr>
        <w:t>,        o místním</w:t>
      </w:r>
      <w:proofErr w:type="gramEnd"/>
      <w:r>
        <w:rPr>
          <w:bCs/>
          <w:szCs w:val="24"/>
        </w:rPr>
        <w:t xml:space="preserve"> poplatku za užívání veřejného prostranství, ve znění vyhlášek statutárního města Plzně č. 7/2004, 10/2005, 16/2005, 9/2006, 8/2010, 4/2011, 1/2012, 8/2012, 8/2013, 6/2016, 4/2017 a 5/2018, s účinností od 1. ledna 2019, takto:</w:t>
      </w:r>
    </w:p>
    <w:p w:rsidR="00953805" w:rsidRDefault="00953805" w:rsidP="00953805">
      <w:pPr>
        <w:tabs>
          <w:tab w:val="left" w:pos="426"/>
          <w:tab w:val="left" w:pos="709"/>
          <w:tab w:val="left" w:pos="6237"/>
        </w:tabs>
        <w:ind w:left="426"/>
        <w:jc w:val="both"/>
        <w:rPr>
          <w:bCs/>
          <w:szCs w:val="24"/>
        </w:rPr>
      </w:pPr>
      <w:r>
        <w:rPr>
          <w:bCs/>
          <w:szCs w:val="24"/>
        </w:rPr>
        <w:t>1.</w:t>
      </w:r>
      <w:r>
        <w:rPr>
          <w:bCs/>
          <w:szCs w:val="24"/>
        </w:rPr>
        <w:tab/>
        <w:t>V čl. 1 se doplňuje odstavec 6, který zní:</w:t>
      </w:r>
    </w:p>
    <w:p w:rsidR="00953805" w:rsidRDefault="00953805" w:rsidP="00953805">
      <w:pPr>
        <w:tabs>
          <w:tab w:val="left" w:pos="426"/>
          <w:tab w:val="left" w:pos="709"/>
          <w:tab w:val="left" w:pos="6237"/>
        </w:tabs>
        <w:ind w:left="709"/>
        <w:jc w:val="both"/>
        <w:rPr>
          <w:bCs/>
          <w:szCs w:val="24"/>
        </w:rPr>
      </w:pPr>
      <w:r>
        <w:rPr>
          <w:bCs/>
          <w:szCs w:val="24"/>
        </w:rPr>
        <w:t xml:space="preserve">„Poskytovatelem služby </w:t>
      </w:r>
      <w:proofErr w:type="spellStart"/>
      <w:r>
        <w:rPr>
          <w:bCs/>
          <w:szCs w:val="24"/>
        </w:rPr>
        <w:t>carsharingu</w:t>
      </w:r>
      <w:proofErr w:type="spellEnd"/>
      <w:r>
        <w:rPr>
          <w:bCs/>
          <w:szCs w:val="24"/>
        </w:rPr>
        <w:t xml:space="preserve"> se pro účely této vyhlášky rozumí fyzická osoba podnikající nebo právnická osoba, která splňuje požadavky na poskytovatele </w:t>
      </w:r>
      <w:proofErr w:type="spellStart"/>
      <w:r>
        <w:rPr>
          <w:bCs/>
          <w:szCs w:val="24"/>
        </w:rPr>
        <w:t>carsharingu</w:t>
      </w:r>
      <w:proofErr w:type="spellEnd"/>
      <w:r>
        <w:rPr>
          <w:bCs/>
          <w:szCs w:val="24"/>
        </w:rPr>
        <w:t xml:space="preserve"> na území města Plzně stanovené městem Plzní a jejíž vozidla určená k poskytování služby </w:t>
      </w:r>
      <w:proofErr w:type="spellStart"/>
      <w:r>
        <w:rPr>
          <w:bCs/>
          <w:szCs w:val="24"/>
        </w:rPr>
        <w:t>carsharingu</w:t>
      </w:r>
      <w:proofErr w:type="spellEnd"/>
      <w:r>
        <w:rPr>
          <w:bCs/>
          <w:szCs w:val="24"/>
        </w:rPr>
        <w:t xml:space="preserve"> byla městem Plzní registrována.“</w:t>
      </w:r>
    </w:p>
    <w:p w:rsidR="00953805" w:rsidRDefault="00953805" w:rsidP="00953805">
      <w:pPr>
        <w:tabs>
          <w:tab w:val="left" w:pos="426"/>
          <w:tab w:val="left" w:pos="709"/>
          <w:tab w:val="left" w:pos="6237"/>
        </w:tabs>
        <w:ind w:left="709"/>
        <w:jc w:val="both"/>
        <w:rPr>
          <w:bCs/>
          <w:szCs w:val="24"/>
        </w:rPr>
      </w:pPr>
    </w:p>
    <w:p w:rsidR="00953805" w:rsidRDefault="00953805" w:rsidP="00953805">
      <w:pPr>
        <w:tabs>
          <w:tab w:val="left" w:pos="426"/>
          <w:tab w:val="left" w:pos="709"/>
          <w:tab w:val="left" w:pos="6237"/>
        </w:tabs>
        <w:ind w:left="709"/>
        <w:jc w:val="both"/>
        <w:rPr>
          <w:bCs/>
          <w:szCs w:val="24"/>
        </w:rPr>
      </w:pPr>
    </w:p>
    <w:p w:rsidR="00953805" w:rsidRDefault="00953805" w:rsidP="00953805">
      <w:pPr>
        <w:tabs>
          <w:tab w:val="left" w:pos="426"/>
          <w:tab w:val="left" w:pos="709"/>
          <w:tab w:val="left" w:pos="6237"/>
        </w:tabs>
        <w:ind w:left="709" w:hanging="709"/>
        <w:jc w:val="both"/>
        <w:rPr>
          <w:bCs/>
          <w:szCs w:val="24"/>
        </w:rPr>
      </w:pPr>
      <w:r>
        <w:rPr>
          <w:bCs/>
          <w:szCs w:val="24"/>
        </w:rPr>
        <w:tab/>
        <w:t>2.</w:t>
      </w:r>
      <w:r>
        <w:rPr>
          <w:bCs/>
          <w:szCs w:val="24"/>
        </w:rPr>
        <w:tab/>
        <w:t>V čl. 7 se na konci písmene p) tečka nahrazuje čárkou a za písmeno p) se vkládá nové písmeno q), které zní:</w:t>
      </w:r>
    </w:p>
    <w:p w:rsidR="00953805" w:rsidRPr="00FE643C" w:rsidRDefault="00953805" w:rsidP="00953805">
      <w:pPr>
        <w:tabs>
          <w:tab w:val="left" w:pos="426"/>
          <w:tab w:val="left" w:pos="709"/>
          <w:tab w:val="left" w:pos="1134"/>
          <w:tab w:val="left" w:pos="6237"/>
        </w:tabs>
        <w:ind w:left="1134" w:hanging="1134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„q)</w:t>
      </w:r>
      <w:r>
        <w:rPr>
          <w:bCs/>
          <w:szCs w:val="24"/>
        </w:rPr>
        <w:tab/>
        <w:t xml:space="preserve">poskytovatelé služby </w:t>
      </w:r>
      <w:proofErr w:type="spellStart"/>
      <w:r>
        <w:rPr>
          <w:bCs/>
          <w:szCs w:val="24"/>
        </w:rPr>
        <w:t>carsharingu</w:t>
      </w:r>
      <w:proofErr w:type="spellEnd"/>
      <w:r>
        <w:rPr>
          <w:bCs/>
          <w:szCs w:val="24"/>
        </w:rPr>
        <w:t xml:space="preserve"> za vyhrazení trvalého parkovacího místa na veřejném prostranství“</w:t>
      </w:r>
    </w:p>
    <w:p w:rsidR="00953805" w:rsidRDefault="00953805" w:rsidP="00953805">
      <w:pPr>
        <w:tabs>
          <w:tab w:val="left" w:pos="426"/>
          <w:tab w:val="left" w:pos="6237"/>
        </w:tabs>
        <w:jc w:val="both"/>
        <w:rPr>
          <w:bCs/>
          <w:szCs w:val="24"/>
        </w:rPr>
      </w:pPr>
    </w:p>
    <w:p w:rsidR="00953805" w:rsidRDefault="00953805" w:rsidP="00953805">
      <w:pPr>
        <w:tabs>
          <w:tab w:val="left" w:pos="426"/>
          <w:tab w:val="left" w:pos="6237"/>
        </w:tabs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>III.</w:t>
      </w:r>
      <w:r>
        <w:rPr>
          <w:b/>
          <w:bCs/>
          <w:szCs w:val="24"/>
        </w:rPr>
        <w:tab/>
        <w:t xml:space="preserve">u k l á d á </w:t>
      </w:r>
    </w:p>
    <w:p w:rsidR="00953805" w:rsidRDefault="00953805" w:rsidP="00953805">
      <w:pPr>
        <w:tabs>
          <w:tab w:val="left" w:pos="426"/>
          <w:tab w:val="left" w:pos="6237"/>
        </w:tabs>
        <w:ind w:left="426" w:hanging="426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starostovi MO Plzeň 2 – Slovany</w:t>
      </w:r>
    </w:p>
    <w:p w:rsidR="00953805" w:rsidRDefault="00953805" w:rsidP="00953805">
      <w:pPr>
        <w:tabs>
          <w:tab w:val="left" w:pos="426"/>
          <w:tab w:val="left" w:pos="6237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ab/>
        <w:t xml:space="preserve">předložit materiál dle bodu II. k projednání v orgánech města Plzně  </w:t>
      </w:r>
    </w:p>
    <w:p w:rsidR="00953805" w:rsidRDefault="00953805" w:rsidP="00953805">
      <w:pPr>
        <w:tabs>
          <w:tab w:val="left" w:pos="426"/>
          <w:tab w:val="left" w:pos="6237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termín: ihned </w:t>
      </w:r>
    </w:p>
    <w:p w:rsidR="00953805" w:rsidRPr="00485583" w:rsidRDefault="00953805" w:rsidP="00953805">
      <w:pPr>
        <w:tabs>
          <w:tab w:val="left" w:pos="426"/>
          <w:tab w:val="left" w:pos="6237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 xml:space="preserve">.: vedoucí odboru </w:t>
      </w:r>
      <w:proofErr w:type="spellStart"/>
      <w:r>
        <w:rPr>
          <w:bCs/>
          <w:szCs w:val="24"/>
        </w:rPr>
        <w:t>EaP</w:t>
      </w:r>
      <w:proofErr w:type="spellEnd"/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953805">
      <w:rPr>
        <w:i/>
        <w:iCs/>
      </w:rPr>
      <w:t>24.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953805">
      <w:rPr>
        <w:i/>
        <w:iCs/>
      </w:rPr>
      <w:t xml:space="preserve"> 11. 9. 2018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953805">
      <w:rPr>
        <w:i/>
        <w:iCs/>
      </w:rPr>
      <w:t xml:space="preserve"> EAP/1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8739E4"/>
    <w:rsid w:val="008A1355"/>
    <w:rsid w:val="0095380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2018-09-12T12:24:00Z</dcterms:created>
  <dcterms:modified xsi:type="dcterms:W3CDTF">2018-09-12T12:24:00Z</dcterms:modified>
</cp:coreProperties>
</file>