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A" w:rsidRDefault="00CB18DA" w:rsidP="00E151ED"/>
    <w:p w:rsidR="00E151ED" w:rsidRDefault="00E151ED" w:rsidP="00E151ED"/>
    <w:p w:rsidR="00E151ED" w:rsidRDefault="00E151ED" w:rsidP="00E151ED">
      <w:pPr>
        <w:jc w:val="center"/>
      </w:pPr>
    </w:p>
    <w:p w:rsidR="00E151ED" w:rsidRDefault="00E151ED" w:rsidP="00E151ED">
      <w:pPr>
        <w:tabs>
          <w:tab w:val="left" w:pos="8505"/>
        </w:tabs>
        <w:jc w:val="center"/>
      </w:pPr>
      <w:r>
        <w:t>č. 58</w:t>
      </w:r>
    </w:p>
    <w:p w:rsidR="00E151ED" w:rsidRDefault="00E151ED" w:rsidP="00E151ED"/>
    <w:p w:rsidR="00E151ED" w:rsidRDefault="00E151ED" w:rsidP="00E151ED">
      <w:pPr>
        <w:pStyle w:val="Bezmezer"/>
        <w:rPr>
          <w:szCs w:val="24"/>
        </w:rPr>
      </w:pPr>
    </w:p>
    <w:p w:rsidR="00E151ED" w:rsidRPr="00E151ED" w:rsidRDefault="00E151ED" w:rsidP="00E151ED">
      <w:pPr>
        <w:pStyle w:val="Bezmezer"/>
        <w:numPr>
          <w:ilvl w:val="0"/>
          <w:numId w:val="18"/>
        </w:numPr>
        <w:ind w:hanging="1080"/>
        <w:rPr>
          <w:szCs w:val="24"/>
        </w:rPr>
      </w:pPr>
      <w:proofErr w:type="gramStart"/>
      <w:r w:rsidRPr="00E151ED">
        <w:rPr>
          <w:szCs w:val="24"/>
        </w:rPr>
        <w:t>B e r e   n a   v ě d o m í</w:t>
      </w:r>
      <w:proofErr w:type="gramEnd"/>
    </w:p>
    <w:p w:rsidR="00E151ED" w:rsidRPr="00064E14" w:rsidRDefault="00E151ED" w:rsidP="00E151ED">
      <w:pPr>
        <w:pStyle w:val="Bezmezer"/>
        <w:rPr>
          <w:szCs w:val="24"/>
        </w:rPr>
      </w:pPr>
    </w:p>
    <w:p w:rsidR="00E151ED" w:rsidRDefault="00E151ED" w:rsidP="00E151ED">
      <w:pPr>
        <w:pStyle w:val="Bezmezer"/>
        <w:jc w:val="both"/>
        <w:rPr>
          <w:szCs w:val="24"/>
        </w:rPr>
      </w:pPr>
      <w:r w:rsidRPr="00064E14">
        <w:rPr>
          <w:szCs w:val="24"/>
        </w:rPr>
        <w:t>informativn</w:t>
      </w:r>
      <w:r>
        <w:rPr>
          <w:szCs w:val="24"/>
        </w:rPr>
        <w:t>í zprávy předložené na jednání 3</w:t>
      </w:r>
      <w:r w:rsidRPr="00064E14">
        <w:rPr>
          <w:szCs w:val="24"/>
        </w:rPr>
        <w:t xml:space="preserve">. schůze </w:t>
      </w:r>
      <w:r>
        <w:rPr>
          <w:szCs w:val="24"/>
        </w:rPr>
        <w:t>Zastupitelstva města Plzně dne 7. 2. 2019</w:t>
      </w:r>
      <w:r w:rsidRPr="00064E14">
        <w:rPr>
          <w:szCs w:val="24"/>
        </w:rPr>
        <w:t>:</w:t>
      </w:r>
    </w:p>
    <w:p w:rsidR="00E151ED" w:rsidRPr="0052655B" w:rsidRDefault="00E151ED" w:rsidP="00E151ED">
      <w:pPr>
        <w:jc w:val="both"/>
        <w:rPr>
          <w:szCs w:val="24"/>
        </w:rPr>
      </w:pP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Plzeňské podnikatelské vouchery 2017-18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ŘEÚ/4</w:t>
      </w:r>
    </w:p>
    <w:p w:rsidR="00E151ED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Informace o nedokončených stavebních dílech „Rekonstrukce vodovodu</w:t>
      </w:r>
    </w:p>
    <w:p w:rsidR="00E151ED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a kanalizace včetně odboček, Plzeň, vnitroblok Lábkova“, „Rekonstrukce</w:t>
      </w:r>
    </w:p>
    <w:p w:rsidR="00E151ED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vodovodu a kanalizace, Plzeň, Kaštanová ulice“ a „Rekonstrukce stávající</w:t>
      </w:r>
    </w:p>
    <w:p w:rsidR="00E151ED" w:rsidRPr="002C7C48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kanalizace, Plzeň, ulice Plachého, Skrétova a Nerudova“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OSI/1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Informace o evidovaných dražbách a výběrových řízeních za rok 2018</w:t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MAJ+PROP/17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Projednání „Petice proti výstavbě nových bytových domů v lokalitě Heyrovského“</w:t>
      </w:r>
      <w:r>
        <w:rPr>
          <w:szCs w:val="24"/>
        </w:rPr>
        <w:tab/>
      </w:r>
      <w:r w:rsidRPr="002C7C48">
        <w:rPr>
          <w:szCs w:val="24"/>
        </w:rPr>
        <w:t>PROP+KŘTÚ/12</w:t>
      </w:r>
    </w:p>
    <w:p w:rsidR="00E151ED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Dopis České komory architektů ve věci nabídky pomoci při koncepčním</w:t>
      </w:r>
    </w:p>
    <w:p w:rsidR="00E151ED" w:rsidRPr="002C7C48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rozhodování o území obce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ORG/2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Zpráva o situaci na trhu práce okres Plzeň-město a Plzeňský kraj - listopad 2018</w:t>
      </w:r>
      <w:r>
        <w:rPr>
          <w:szCs w:val="24"/>
        </w:rPr>
        <w:tab/>
      </w:r>
      <w:r w:rsidRPr="002C7C48">
        <w:rPr>
          <w:szCs w:val="24"/>
        </w:rPr>
        <w:t>ORG/3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Zpráva o situaci na trhu práce okres Plzeň-město a Plzeňský kraj - prosinec 2018</w:t>
      </w:r>
      <w:r>
        <w:rPr>
          <w:szCs w:val="24"/>
        </w:rPr>
        <w:tab/>
      </w:r>
      <w:r w:rsidRPr="002C7C48">
        <w:rPr>
          <w:szCs w:val="24"/>
        </w:rPr>
        <w:t>ORG/4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 xml:space="preserve">Prezentace aplikace </w:t>
      </w:r>
      <w:proofErr w:type="spellStart"/>
      <w:r w:rsidRPr="002C7C48">
        <w:rPr>
          <w:szCs w:val="24"/>
        </w:rPr>
        <w:t>Cityvizor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ORG/5</w:t>
      </w:r>
    </w:p>
    <w:p w:rsidR="00E151ED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Informativní zpráva pana Hanouska ve věci záležitosti nespokojených občanů</w:t>
      </w:r>
    </w:p>
    <w:p w:rsidR="00E151ED" w:rsidRPr="002C7C48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z</w:t>
      </w:r>
      <w:r>
        <w:rPr>
          <w:szCs w:val="24"/>
        </w:rPr>
        <w:t> </w:t>
      </w:r>
      <w:r w:rsidRPr="002C7C48">
        <w:rPr>
          <w:szCs w:val="24"/>
        </w:rPr>
        <w:t>ulice</w:t>
      </w:r>
      <w:r>
        <w:rPr>
          <w:szCs w:val="24"/>
        </w:rPr>
        <w:t xml:space="preserve"> </w:t>
      </w:r>
      <w:r w:rsidRPr="002C7C48">
        <w:rPr>
          <w:szCs w:val="24"/>
        </w:rPr>
        <w:t>Nad Týncem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ORG/6</w:t>
      </w:r>
    </w:p>
    <w:p w:rsidR="00E151ED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Informativní zpráva pana Hanouska ve věci činnosti městských servisních</w:t>
      </w:r>
    </w:p>
    <w:p w:rsidR="00E151ED" w:rsidRPr="002C7C48" w:rsidRDefault="00E151ED" w:rsidP="00E151ED">
      <w:pPr>
        <w:ind w:left="426"/>
        <w:rPr>
          <w:szCs w:val="24"/>
        </w:rPr>
      </w:pPr>
      <w:r w:rsidRPr="002C7C48">
        <w:rPr>
          <w:szCs w:val="24"/>
        </w:rPr>
        <w:t>organizací v</w:t>
      </w:r>
      <w:r>
        <w:rPr>
          <w:szCs w:val="24"/>
        </w:rPr>
        <w:t> </w:t>
      </w:r>
      <w:r w:rsidRPr="002C7C48">
        <w:rPr>
          <w:szCs w:val="24"/>
        </w:rPr>
        <w:t>Bukovci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ORG/7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Návrh řešení budoucího využití objektu Kulturní dům Peklo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C7C48">
        <w:rPr>
          <w:szCs w:val="24"/>
        </w:rPr>
        <w:t>RadS</w:t>
      </w:r>
      <w:proofErr w:type="spellEnd"/>
      <w:r w:rsidRPr="002C7C48">
        <w:rPr>
          <w:szCs w:val="24"/>
        </w:rPr>
        <w:t>/2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Aktuální informace k realizaci „Strategie ITI plzeňské metropolitní oblasti“</w:t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ÚKEP/2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rPr>
          <w:szCs w:val="24"/>
        </w:rPr>
      </w:pPr>
      <w:r w:rsidRPr="002C7C48">
        <w:rPr>
          <w:szCs w:val="24"/>
        </w:rPr>
        <w:t>Zpráva o činnosti VZVZ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VZVZ/2</w:t>
      </w:r>
    </w:p>
    <w:p w:rsidR="00E151ED" w:rsidRPr="002C7C48" w:rsidRDefault="00E151ED" w:rsidP="00E151ED">
      <w:pPr>
        <w:numPr>
          <w:ilvl w:val="0"/>
          <w:numId w:val="19"/>
        </w:numPr>
        <w:ind w:left="426" w:hanging="426"/>
        <w:jc w:val="both"/>
        <w:rPr>
          <w:szCs w:val="24"/>
        </w:rPr>
      </w:pPr>
      <w:r w:rsidRPr="00A2496C">
        <w:rPr>
          <w:szCs w:val="24"/>
        </w:rPr>
        <w:t>Zpráva o činnosti KV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7C48">
        <w:rPr>
          <w:szCs w:val="24"/>
        </w:rPr>
        <w:t>KV/2</w:t>
      </w:r>
    </w:p>
    <w:p w:rsidR="00E151ED" w:rsidRDefault="00E151ED" w:rsidP="00E151ED">
      <w:pPr>
        <w:jc w:val="both"/>
        <w:rPr>
          <w:szCs w:val="24"/>
        </w:rPr>
      </w:pPr>
    </w:p>
    <w:p w:rsidR="00E151ED" w:rsidRPr="00E151ED" w:rsidRDefault="00E151ED" w:rsidP="00E151ED">
      <w:pPr>
        <w:numPr>
          <w:ilvl w:val="0"/>
          <w:numId w:val="18"/>
        </w:numPr>
        <w:ind w:hanging="1080"/>
        <w:jc w:val="both"/>
        <w:rPr>
          <w:szCs w:val="24"/>
        </w:rPr>
      </w:pPr>
      <w:proofErr w:type="gramStart"/>
      <w:r w:rsidRPr="00E151ED">
        <w:rPr>
          <w:szCs w:val="24"/>
        </w:rPr>
        <w:t>S o u h l a s í</w:t>
      </w:r>
      <w:proofErr w:type="gramEnd"/>
    </w:p>
    <w:p w:rsidR="00E151ED" w:rsidRDefault="00E151ED" w:rsidP="00E151ED">
      <w:pPr>
        <w:jc w:val="both"/>
        <w:rPr>
          <w:szCs w:val="24"/>
        </w:rPr>
      </w:pPr>
    </w:p>
    <w:p w:rsidR="00E151ED" w:rsidRDefault="00E151ED" w:rsidP="00E151ED">
      <w:pPr>
        <w:jc w:val="both"/>
        <w:rPr>
          <w:szCs w:val="24"/>
        </w:rPr>
      </w:pPr>
      <w:r w:rsidRPr="002C7C48">
        <w:rPr>
          <w:szCs w:val="24"/>
        </w:rPr>
        <w:t>s odpovědí na informativní zprávu PROP+KŘTÚ/12, jmenovanou v </w:t>
      </w:r>
      <w:proofErr w:type="gramStart"/>
      <w:r w:rsidRPr="002C7C48">
        <w:rPr>
          <w:szCs w:val="24"/>
        </w:rPr>
        <w:t>bodě I.4 tohoto</w:t>
      </w:r>
      <w:proofErr w:type="gramEnd"/>
      <w:r w:rsidRPr="002C7C48">
        <w:rPr>
          <w:szCs w:val="24"/>
        </w:rPr>
        <w:t xml:space="preserve"> usnesení, </w:t>
      </w:r>
    </w:p>
    <w:p w:rsidR="00E151ED" w:rsidRPr="002C7C48" w:rsidRDefault="00E151ED" w:rsidP="00E151ED">
      <w:pPr>
        <w:jc w:val="both"/>
        <w:rPr>
          <w:szCs w:val="24"/>
        </w:rPr>
      </w:pPr>
      <w:r w:rsidRPr="002C7C48">
        <w:rPr>
          <w:szCs w:val="24"/>
        </w:rPr>
        <w:t>ve smyslu přílohy č. 3 této informativní zprávy.</w:t>
      </w:r>
    </w:p>
    <w:sectPr w:rsidR="00E151ED" w:rsidRPr="002C7C48" w:rsidSect="00E15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51E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ED" w:rsidRDefault="00E15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ED" w:rsidRDefault="00E15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151ED">
      <w:rPr>
        <w:i/>
        <w:color w:val="808080"/>
      </w:rPr>
      <w:t>ORG/1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ED" w:rsidRDefault="00E151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E916F1"/>
    <w:multiLevelType w:val="hybridMultilevel"/>
    <w:tmpl w:val="493E4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64C43"/>
    <w:multiLevelType w:val="hybridMultilevel"/>
    <w:tmpl w:val="66C03B6E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7598"/>
    <w:multiLevelType w:val="hybridMultilevel"/>
    <w:tmpl w:val="6120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71F5CC0"/>
    <w:multiLevelType w:val="hybridMultilevel"/>
    <w:tmpl w:val="D186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28FF"/>
    <w:multiLevelType w:val="hybridMultilevel"/>
    <w:tmpl w:val="026C27CE"/>
    <w:lvl w:ilvl="0" w:tplc="D082AB32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5EB6"/>
    <w:multiLevelType w:val="hybridMultilevel"/>
    <w:tmpl w:val="56103FFC"/>
    <w:lvl w:ilvl="0" w:tplc="796EE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0"/>
  </w:num>
  <w:num w:numId="7">
    <w:abstractNumId w:val="19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  <w:num w:numId="18">
    <w:abstractNumId w:val="18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35F07"/>
    <w:rsid w:val="00165F89"/>
    <w:rsid w:val="001748A9"/>
    <w:rsid w:val="001971AC"/>
    <w:rsid w:val="001B109D"/>
    <w:rsid w:val="001B3277"/>
    <w:rsid w:val="001C28B3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37F5B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4D05"/>
    <w:rsid w:val="005B5B1D"/>
    <w:rsid w:val="005D3EC4"/>
    <w:rsid w:val="00602F56"/>
    <w:rsid w:val="0062265A"/>
    <w:rsid w:val="00622C4D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D691E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56D03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151ED"/>
    <w:rsid w:val="00E27CD7"/>
    <w:rsid w:val="00E311D2"/>
    <w:rsid w:val="00E45F5F"/>
    <w:rsid w:val="00E465F3"/>
    <w:rsid w:val="00E73B5B"/>
    <w:rsid w:val="00EA260E"/>
    <w:rsid w:val="00EB0777"/>
    <w:rsid w:val="00EB6671"/>
    <w:rsid w:val="00ED2B7C"/>
    <w:rsid w:val="00F155C1"/>
    <w:rsid w:val="00F245D3"/>
    <w:rsid w:val="00F329E7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12E3-A305-4600-A5F8-3B2F505B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2019-02-07T14:56:00Z</dcterms:created>
  <dcterms:modified xsi:type="dcterms:W3CDTF">2019-02-07T14:56:00Z</dcterms:modified>
</cp:coreProperties>
</file>