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B1140B" w:rsidRDefault="00E17DB0" w:rsidP="00B1140B">
      <w:pPr>
        <w:jc w:val="both"/>
      </w:pPr>
    </w:p>
    <w:p w:rsidR="00B1140B" w:rsidRPr="00B1140B" w:rsidRDefault="00B1140B" w:rsidP="00B1140B">
      <w:pPr>
        <w:jc w:val="both"/>
      </w:pPr>
    </w:p>
    <w:p w:rsidR="00E17DB0" w:rsidRPr="00B1140B" w:rsidRDefault="003B35A2" w:rsidP="00C51C6E">
      <w:pPr>
        <w:jc w:val="center"/>
      </w:pPr>
      <w:r w:rsidRPr="00B1140B">
        <w:t>č</w:t>
      </w:r>
      <w:r w:rsidR="00E17DB0" w:rsidRPr="00B1140B">
        <w:t>.</w:t>
      </w:r>
      <w:r w:rsidRPr="00B1140B">
        <w:t xml:space="preserve"> </w:t>
      </w:r>
      <w:r w:rsidR="00C51C6E">
        <w:t>186</w:t>
      </w:r>
    </w:p>
    <w:p w:rsidR="00B1140B" w:rsidRPr="00B1140B" w:rsidRDefault="00B1140B" w:rsidP="00B1140B">
      <w:pPr>
        <w:jc w:val="both"/>
      </w:pPr>
    </w:p>
    <w:p w:rsidR="00B1140B" w:rsidRPr="00B1140B" w:rsidRDefault="00B1140B" w:rsidP="00B1140B">
      <w:pPr>
        <w:jc w:val="both"/>
      </w:pPr>
    </w:p>
    <w:p w:rsidR="00B1140B" w:rsidRPr="00B1140B" w:rsidRDefault="00B1140B" w:rsidP="00A561AA">
      <w:pPr>
        <w:pStyle w:val="Odstavecseseznamem"/>
        <w:numPr>
          <w:ilvl w:val="0"/>
          <w:numId w:val="26"/>
        </w:numPr>
        <w:ind w:hanging="720"/>
        <w:jc w:val="both"/>
      </w:pPr>
      <w:r w:rsidRPr="00B1140B">
        <w:t>B e r e   n a   v ě d o m í</w:t>
      </w:r>
    </w:p>
    <w:p w:rsidR="00A561AA" w:rsidRDefault="00A561AA" w:rsidP="00B1140B">
      <w:pPr>
        <w:jc w:val="both"/>
      </w:pPr>
    </w:p>
    <w:p w:rsidR="00B1140B" w:rsidRPr="00B1140B" w:rsidRDefault="00B1140B" w:rsidP="00A561AA">
      <w:pPr>
        <w:pStyle w:val="Odstavecseseznamem"/>
        <w:numPr>
          <w:ilvl w:val="0"/>
          <w:numId w:val="27"/>
        </w:numPr>
        <w:ind w:left="426" w:hanging="426"/>
        <w:jc w:val="both"/>
      </w:pPr>
      <w:r w:rsidRPr="00B1140B">
        <w:t xml:space="preserve">Skutečnost, že ÚZSVM požádal o projednání převodu podílu státu na pozemcích parc. č. 8419/3, parc. č. 8419/4, parc. č. 8419/34 a parc. č. 8419/13, vše k. ú. Plzeň, z vlastnictví ČR - Úřadu pro zastupování státu ve věcech majetkových do majetku města. Jedná se </w:t>
      </w:r>
      <w:r w:rsidR="00A561AA">
        <w:t xml:space="preserve">      </w:t>
      </w:r>
      <w:r w:rsidRPr="00B1140B">
        <w:t>o pozemky nacházející se v Goldscheiderově a Kaplířově ulici.</w:t>
      </w:r>
    </w:p>
    <w:p w:rsidR="00B1140B" w:rsidRPr="00B1140B" w:rsidRDefault="00B1140B" w:rsidP="00A561AA">
      <w:pPr>
        <w:pStyle w:val="Odstavecseseznamem"/>
        <w:numPr>
          <w:ilvl w:val="0"/>
          <w:numId w:val="27"/>
        </w:numPr>
        <w:ind w:left="426" w:hanging="426"/>
        <w:jc w:val="both"/>
      </w:pPr>
      <w:r w:rsidRPr="00B1140B">
        <w:t xml:space="preserve">Skutečnost, že převod podílu státu na pozemcích parc. č. 8419/3 a parc. č. 8419/4, oba </w:t>
      </w:r>
      <w:r w:rsidR="00A561AA">
        <w:t xml:space="preserve">    </w:t>
      </w:r>
      <w:r w:rsidRPr="00B1140B">
        <w:t xml:space="preserve">k. ú. Plzeň, budou realizovány samostatnou kauzou, neboť v daném případě je možný bezúplatný převod, a to s ohledem na fakt, že pozemky budou zasaženy VPS S-1 Sukova – Hálkova, průjezdní úsek silnice I/27 včetně napojení do prodloužené Čermákovy ulice a křižovatky s Goldscheiderovou ulicí. </w:t>
      </w:r>
    </w:p>
    <w:p w:rsidR="00A561AA" w:rsidRDefault="00A561AA" w:rsidP="00B1140B">
      <w:pPr>
        <w:jc w:val="both"/>
      </w:pPr>
    </w:p>
    <w:p w:rsidR="00B1140B" w:rsidRPr="00B1140B" w:rsidRDefault="00B1140B" w:rsidP="00A561AA">
      <w:pPr>
        <w:pStyle w:val="Odstavecseseznamem"/>
        <w:numPr>
          <w:ilvl w:val="0"/>
          <w:numId w:val="26"/>
        </w:numPr>
        <w:ind w:hanging="720"/>
        <w:jc w:val="both"/>
      </w:pPr>
      <w:r w:rsidRPr="00B1140B">
        <w:t>S c h v a l u j e</w:t>
      </w:r>
    </w:p>
    <w:p w:rsidR="00A561AA" w:rsidRDefault="00A561AA" w:rsidP="00B1140B">
      <w:pPr>
        <w:jc w:val="both"/>
      </w:pPr>
    </w:p>
    <w:p w:rsidR="00B1140B" w:rsidRPr="00B1140B" w:rsidRDefault="00B1140B" w:rsidP="00B1140B">
      <w:pPr>
        <w:jc w:val="both"/>
      </w:pPr>
      <w:r w:rsidRPr="00B1140B">
        <w:t xml:space="preserve">uzavření kupní </w:t>
      </w:r>
      <w:r w:rsidRPr="00B1140B">
        <w:rPr>
          <w:color w:val="000000" w:themeColor="text1"/>
        </w:rPr>
        <w:t>smlouvy</w:t>
      </w:r>
      <w:r w:rsidRPr="00B1140B">
        <w:t xml:space="preserve"> mezi městem Plzní a Českou republikou – Úřadem pro zastupování státu ve věcech majetkových, Územní pracoviště Plzeň, IČO 69797111, Radobyčická 14, Plzeň, na bezúplatný převod nemovitých věcí do majetku města Plzně, a to spoluvlastnického podílu o velikosti 41/288 k celku pozemků:</w:t>
      </w:r>
    </w:p>
    <w:p w:rsidR="00B1140B" w:rsidRPr="00B1140B" w:rsidRDefault="00B1140B" w:rsidP="00A561AA">
      <w:pPr>
        <w:pStyle w:val="Odstavecseseznamem"/>
        <w:numPr>
          <w:ilvl w:val="0"/>
          <w:numId w:val="28"/>
        </w:numPr>
        <w:jc w:val="both"/>
      </w:pPr>
      <w:r w:rsidRPr="00B1140B">
        <w:t>parc. č. 8419/34 o výměře 211 m</w:t>
      </w:r>
      <w:r w:rsidRPr="00A561AA">
        <w:rPr>
          <w:vertAlign w:val="superscript"/>
        </w:rPr>
        <w:t>2</w:t>
      </w:r>
      <w:r w:rsidRPr="00B1140B">
        <w:t>, ostatní plocha, ostatní komunikace,</w:t>
      </w:r>
    </w:p>
    <w:p w:rsidR="00B1140B" w:rsidRPr="00B1140B" w:rsidRDefault="00B1140B" w:rsidP="00A561AA">
      <w:pPr>
        <w:pStyle w:val="Odstavecseseznamem"/>
        <w:numPr>
          <w:ilvl w:val="0"/>
          <w:numId w:val="28"/>
        </w:numPr>
        <w:jc w:val="both"/>
      </w:pPr>
      <w:r w:rsidRPr="00B1140B">
        <w:t>parc. č. 8419/13 o výměře 202 m</w:t>
      </w:r>
      <w:r w:rsidRPr="00A561AA">
        <w:rPr>
          <w:vertAlign w:val="superscript"/>
        </w:rPr>
        <w:t>2</w:t>
      </w:r>
      <w:r w:rsidRPr="00B1140B">
        <w:t xml:space="preserve">, ostatní plocha, jiná plocha, vše k. ú. Plzeň, </w:t>
      </w:r>
    </w:p>
    <w:p w:rsidR="00B1140B" w:rsidRPr="00B1140B" w:rsidRDefault="00B1140B" w:rsidP="00B1140B">
      <w:pPr>
        <w:jc w:val="both"/>
        <w:rPr>
          <w:szCs w:val="24"/>
        </w:rPr>
      </w:pPr>
      <w:r w:rsidRPr="00B1140B">
        <w:rPr>
          <w:szCs w:val="24"/>
        </w:rPr>
        <w:t>za smluvní kupní cenu 120 000 Kč, tj. po zaokrouhlení 2 041 Kč/m</w:t>
      </w:r>
      <w:r w:rsidRPr="00B1140B">
        <w:rPr>
          <w:szCs w:val="24"/>
          <w:vertAlign w:val="superscript"/>
        </w:rPr>
        <w:t>2</w:t>
      </w:r>
      <w:r w:rsidRPr="00B1140B">
        <w:rPr>
          <w:szCs w:val="24"/>
        </w:rPr>
        <w:t>. Tato cena je cenou sjednanou.</w:t>
      </w:r>
    </w:p>
    <w:p w:rsidR="00B1140B" w:rsidRPr="00B1140B" w:rsidRDefault="00B1140B" w:rsidP="00B1140B">
      <w:pPr>
        <w:jc w:val="both"/>
        <w:rPr>
          <w:szCs w:val="24"/>
        </w:rPr>
      </w:pPr>
    </w:p>
    <w:p w:rsidR="00B1140B" w:rsidRPr="00B1140B" w:rsidRDefault="00B1140B" w:rsidP="00B1140B">
      <w:pPr>
        <w:jc w:val="both"/>
        <w:rPr>
          <w:szCs w:val="24"/>
          <w:lang w:eastAsia="zh-CN"/>
        </w:rPr>
      </w:pPr>
      <w:r w:rsidRPr="00B1140B">
        <w:rPr>
          <w:szCs w:val="24"/>
          <w:lang w:eastAsia="zh-CN"/>
        </w:rPr>
        <w:t>Kupní smlouva č. RP 8888/2001 bude obsahovat následující ujednání:</w:t>
      </w:r>
    </w:p>
    <w:p w:rsidR="00B1140B" w:rsidRPr="00B1140B" w:rsidRDefault="00B1140B" w:rsidP="00B1140B">
      <w:pPr>
        <w:jc w:val="both"/>
        <w:rPr>
          <w:szCs w:val="24"/>
          <w:lang w:eastAsia="zh-CN"/>
        </w:rPr>
      </w:pPr>
    </w:p>
    <w:p w:rsidR="00B1140B" w:rsidRPr="00B1140B" w:rsidRDefault="00B1140B" w:rsidP="00B1140B">
      <w:pPr>
        <w:jc w:val="both"/>
        <w:rPr>
          <w:szCs w:val="24"/>
        </w:rPr>
      </w:pPr>
      <w:r w:rsidRPr="00B1140B">
        <w:rPr>
          <w:szCs w:val="24"/>
        </w:rPr>
        <w:t>„Město Plzeň je povinno zaplatit kupní cenu ve výši 120 000 Kč na účet prodávajícího, a to ve lhůtě, která bude městu oznámena ve výzvě prodávajícího k zaplacení kupní ceny, přičemž tato lhůta nebude kratší než 30 dnů ode dne odeslání výzvy k úhradě. Výzva k zaplacení kupní ceny bude kupujícímu odeslána do 30 dnů od uzavření smlouvy.</w:t>
      </w:r>
    </w:p>
    <w:p w:rsidR="00B1140B" w:rsidRPr="00B1140B" w:rsidRDefault="00B1140B" w:rsidP="00B1140B">
      <w:pPr>
        <w:jc w:val="both"/>
        <w:rPr>
          <w:szCs w:val="24"/>
        </w:rPr>
      </w:pPr>
      <w:r w:rsidRPr="00B1140B">
        <w:rPr>
          <w:szCs w:val="24"/>
        </w:rPr>
        <w:t>Nezaplatí-li město Plzeň kupní cenu ve stanové lhůtě, je kupující povinen zaplatit smluvní pokutu ve výši 0,1 % z kupní ceny za každý den prodlení.  V případě prodlení s úhradou kupní ceny je prodávající oprávněn požadovat úhradu, kromě smluvní pokuty i úroky z prodlení dle platné právní úpravy po kupujícím.</w:t>
      </w:r>
    </w:p>
    <w:p w:rsidR="00B1140B" w:rsidRPr="00B1140B" w:rsidRDefault="00B1140B" w:rsidP="00B1140B">
      <w:pPr>
        <w:jc w:val="both"/>
        <w:rPr>
          <w:szCs w:val="24"/>
        </w:rPr>
      </w:pPr>
      <w:r w:rsidRPr="00B1140B">
        <w:rPr>
          <w:szCs w:val="24"/>
        </w:rPr>
        <w:t>Pokuty jsou splatné do deseti dnů ode dne doručení výzvy k jejich zaplacení na účet prodávajícího.</w:t>
      </w:r>
    </w:p>
    <w:p w:rsidR="00B1140B" w:rsidRDefault="00B1140B" w:rsidP="00B1140B">
      <w:pPr>
        <w:jc w:val="both"/>
        <w:rPr>
          <w:szCs w:val="24"/>
        </w:rPr>
      </w:pPr>
      <w:r w:rsidRPr="00B1140B">
        <w:rPr>
          <w:szCs w:val="24"/>
        </w:rPr>
        <w:t>Pro účely této smlouvy se kupní cena, smluvní pokuta, úroky z prodlení a případné jiné platby, považují za zaplacené okamžikem připsání celé hrazené částky na účet prodávajícího.“</w:t>
      </w:r>
    </w:p>
    <w:p w:rsidR="00A561AA" w:rsidRPr="00B1140B" w:rsidRDefault="00A561AA" w:rsidP="00A561AA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>Pokračování usn. č.</w:t>
      </w:r>
      <w:r w:rsidR="00C51C6E">
        <w:rPr>
          <w:szCs w:val="24"/>
        </w:rPr>
        <w:t xml:space="preserve"> 186</w:t>
      </w:r>
      <w:bookmarkStart w:id="0" w:name="_GoBack"/>
      <w:bookmarkEnd w:id="0"/>
    </w:p>
    <w:p w:rsidR="00B1140B" w:rsidRPr="00B1140B" w:rsidRDefault="00B1140B" w:rsidP="00B1140B">
      <w:pPr>
        <w:jc w:val="both"/>
        <w:rPr>
          <w:szCs w:val="24"/>
          <w:lang w:eastAsia="zh-CN"/>
        </w:rPr>
      </w:pPr>
      <w:r w:rsidRPr="00B1140B">
        <w:rPr>
          <w:szCs w:val="24"/>
          <w:lang w:eastAsia="zh-CN"/>
        </w:rPr>
        <w:t>„Kupující je (v souladu s § 2145 občanského zákoníku) srozuměn s tím, že k převáděnému majetku náleží předkupní právo z titulu § 1124 občanského zákoníku a že převáděný majetek bude do 30 dnů po uzavření této smlouvy nabídnut předkupníkovi ke koupi za podmínek sjednaných touto smlouvou.</w:t>
      </w:r>
    </w:p>
    <w:p w:rsidR="00B1140B" w:rsidRPr="00B1140B" w:rsidRDefault="00B1140B" w:rsidP="00B1140B">
      <w:pPr>
        <w:jc w:val="both"/>
        <w:rPr>
          <w:szCs w:val="24"/>
          <w:lang w:eastAsia="zh-CN"/>
        </w:rPr>
      </w:pPr>
      <w:r w:rsidRPr="00B1140B">
        <w:rPr>
          <w:szCs w:val="24"/>
          <w:lang w:eastAsia="zh-CN"/>
        </w:rPr>
        <w:t>Uplatní-li předkupník své předkupní právo tím, že zaplatí ve lhůtě tří měsíců ode dne doručení nabídky kupní cenu ve výši sjednané v této smlouvě, tato smlouva okamžikem zaplacení zanikne, převáděný majetek zůstává ve vlastnictví prodávajícího.</w:t>
      </w:r>
    </w:p>
    <w:p w:rsidR="00B1140B" w:rsidRPr="00B1140B" w:rsidRDefault="00B1140B" w:rsidP="00B1140B">
      <w:pPr>
        <w:jc w:val="both"/>
        <w:rPr>
          <w:szCs w:val="24"/>
          <w:lang w:eastAsia="zh-CN"/>
        </w:rPr>
      </w:pPr>
      <w:r w:rsidRPr="00B1140B">
        <w:rPr>
          <w:szCs w:val="24"/>
          <w:lang w:eastAsia="zh-CN"/>
        </w:rPr>
        <w:t>Prodávající se zavazuje, že o skutečnosti, zda předkupník své předkupní právo uplatnil či nikoliv, bude kupujícího informovat písemně bez zbytečného odkladu. V případě uplatnění předkupního práva některým ze spoluvlastníků, prodávající zároveň kupujícího vyzve k projevení vůle, zdali má být kupní cena považována rovněž za uplatnění předkupního práva.</w:t>
      </w:r>
    </w:p>
    <w:p w:rsidR="00B1140B" w:rsidRPr="00B1140B" w:rsidRDefault="00B1140B" w:rsidP="00B1140B">
      <w:pPr>
        <w:jc w:val="both"/>
        <w:rPr>
          <w:szCs w:val="24"/>
          <w:lang w:eastAsia="zh-CN"/>
        </w:rPr>
      </w:pPr>
      <w:r w:rsidRPr="00B1140B">
        <w:rPr>
          <w:szCs w:val="24"/>
          <w:lang w:eastAsia="zh-CN"/>
        </w:rPr>
        <w:t xml:space="preserve">Smluvní strany jsou si vědomy toho, že dva ze spoluvlastníků nežijí na území České republiky a nejsou dostatečně identifikováni, tedy vůči nim, ani jejich případným právním nástupcům, nelze učinit řádnou nabídku k využití předkupního práva dle ustanovení § 1124 odst. 1 zák. č. 89/2012 Sb., občanského zákoníku, v platném znění, čímž nebude naplněno jejich předkupní právo. Nabyvatel bere tuto skutečnost na vědomí. Předkupní právo vůči těmto spoluvlastníkům, případně vůči jejich právním nástupcům, zůstává nadále zachováno“. </w:t>
      </w:r>
    </w:p>
    <w:p w:rsidR="00B1140B" w:rsidRPr="00B1140B" w:rsidRDefault="00B1140B" w:rsidP="00B1140B">
      <w:pPr>
        <w:jc w:val="both"/>
      </w:pPr>
    </w:p>
    <w:p w:rsidR="00B1140B" w:rsidRPr="00B1140B" w:rsidRDefault="00B1140B" w:rsidP="00A561AA">
      <w:pPr>
        <w:pStyle w:val="Odstavecseseznamem"/>
        <w:numPr>
          <w:ilvl w:val="0"/>
          <w:numId w:val="26"/>
        </w:numPr>
        <w:ind w:hanging="720"/>
        <w:jc w:val="both"/>
      </w:pPr>
      <w:r w:rsidRPr="00B1140B">
        <w:t>U k l á d á</w:t>
      </w:r>
    </w:p>
    <w:p w:rsidR="00A561AA" w:rsidRDefault="00A561AA" w:rsidP="00B1140B">
      <w:pPr>
        <w:jc w:val="both"/>
      </w:pPr>
    </w:p>
    <w:p w:rsidR="00B1140B" w:rsidRPr="00B1140B" w:rsidRDefault="00B1140B" w:rsidP="00B1140B">
      <w:pPr>
        <w:jc w:val="both"/>
      </w:pPr>
      <w:r w:rsidRPr="00B1140B">
        <w:t>Radě města Plzně</w:t>
      </w:r>
    </w:p>
    <w:p w:rsidR="00B1140B" w:rsidRPr="00B1140B" w:rsidRDefault="00B1140B" w:rsidP="00B1140B">
      <w:pPr>
        <w:jc w:val="both"/>
      </w:pPr>
      <w:r w:rsidRPr="00B1140B">
        <w:t>zajistit realizaci kupní smlovy dle bodu II. tohoto usnesení.</w:t>
      </w:r>
    </w:p>
    <w:p w:rsidR="00B1140B" w:rsidRPr="00B1140B" w:rsidRDefault="00B1140B" w:rsidP="00B1140B">
      <w:pPr>
        <w:jc w:val="both"/>
        <w:rPr>
          <w:szCs w:val="24"/>
        </w:rPr>
      </w:pPr>
      <w:r w:rsidRPr="00B1140B">
        <w:t>Termín: 30. 9. 2021</w:t>
      </w:r>
      <w:r w:rsidR="00A561AA">
        <w:tab/>
      </w:r>
      <w:r w:rsidR="00A561AA">
        <w:tab/>
      </w:r>
      <w:r w:rsidR="00A561AA">
        <w:tab/>
      </w:r>
      <w:r w:rsidR="00A561AA">
        <w:tab/>
      </w:r>
      <w:r w:rsidR="00A561AA">
        <w:tab/>
      </w:r>
      <w:r w:rsidRPr="00B1140B">
        <w:rPr>
          <w:szCs w:val="24"/>
        </w:rPr>
        <w:t>Zodpovídá: Bc. Šlouf, MBA</w:t>
      </w:r>
    </w:p>
    <w:p w:rsidR="00B1140B" w:rsidRPr="00B1140B" w:rsidRDefault="00B1140B" w:rsidP="00A561AA">
      <w:pPr>
        <w:ind w:left="4248" w:firstLine="708"/>
        <w:jc w:val="both"/>
        <w:rPr>
          <w:szCs w:val="24"/>
        </w:rPr>
      </w:pPr>
      <w:r w:rsidRPr="00B1140B">
        <w:rPr>
          <w:szCs w:val="24"/>
        </w:rPr>
        <w:t xml:space="preserve">                    Mgr. Šneberková</w:t>
      </w:r>
    </w:p>
    <w:p w:rsidR="00B1140B" w:rsidRPr="00B1140B" w:rsidRDefault="00B1140B" w:rsidP="00B1140B">
      <w:pPr>
        <w:jc w:val="both"/>
      </w:pPr>
    </w:p>
    <w:sectPr w:rsidR="00B1140B" w:rsidRPr="00B1140B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A561AA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51C6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A561AA">
      <w:rPr>
        <w:rStyle w:val="slostrnky"/>
      </w:rPr>
      <w:t>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1140B">
      <w:rPr>
        <w:i/>
        <w:color w:val="808080"/>
      </w:rPr>
      <w:t>MAJ/3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3B9E"/>
    <w:multiLevelType w:val="hybridMultilevel"/>
    <w:tmpl w:val="E6E8FEE0"/>
    <w:lvl w:ilvl="0" w:tplc="A26C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B733C"/>
    <w:multiLevelType w:val="hybridMultilevel"/>
    <w:tmpl w:val="FD7E6028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64520"/>
    <w:multiLevelType w:val="hybridMultilevel"/>
    <w:tmpl w:val="3F7C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7BC7EAA"/>
    <w:multiLevelType w:val="hybridMultilevel"/>
    <w:tmpl w:val="3506B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7"/>
  </w:num>
  <w:num w:numId="5">
    <w:abstractNumId w:val="7"/>
  </w:num>
  <w:num w:numId="6">
    <w:abstractNumId w:val="0"/>
  </w:num>
  <w:num w:numId="7">
    <w:abstractNumId w:val="27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22"/>
  </w:num>
  <w:num w:numId="13">
    <w:abstractNumId w:val="11"/>
  </w:num>
  <w:num w:numId="14">
    <w:abstractNumId w:val="19"/>
  </w:num>
  <w:num w:numId="15">
    <w:abstractNumId w:val="14"/>
  </w:num>
  <w:num w:numId="16">
    <w:abstractNumId w:val="20"/>
  </w:num>
  <w:num w:numId="17">
    <w:abstractNumId w:val="12"/>
  </w:num>
  <w:num w:numId="18">
    <w:abstractNumId w:val="25"/>
  </w:num>
  <w:num w:numId="19">
    <w:abstractNumId w:val="24"/>
  </w:num>
  <w:num w:numId="20">
    <w:abstractNumId w:val="6"/>
  </w:num>
  <w:num w:numId="21">
    <w:abstractNumId w:val="26"/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5"/>
  </w:num>
  <w:num w:numId="25">
    <w:abstractNumId w:val="21"/>
  </w:num>
  <w:num w:numId="26">
    <w:abstractNumId w:val="9"/>
  </w:num>
  <w:num w:numId="27">
    <w:abstractNumId w:val="18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561AA"/>
    <w:rsid w:val="00A70602"/>
    <w:rsid w:val="00AB1E31"/>
    <w:rsid w:val="00AF00F0"/>
    <w:rsid w:val="00AF2703"/>
    <w:rsid w:val="00B1140B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51C6E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8DCC-CA78-409C-B151-F324BAE1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624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2019-05-14T06:16:00Z</dcterms:created>
  <dcterms:modified xsi:type="dcterms:W3CDTF">2019-05-14T06:16:00Z</dcterms:modified>
</cp:coreProperties>
</file>