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9C2DB0" w:rsidRDefault="00E17DB0" w:rsidP="009C2DB0">
      <w:pPr>
        <w:jc w:val="both"/>
      </w:pPr>
    </w:p>
    <w:p w:rsidR="009C2DB0" w:rsidRPr="009C2DB0" w:rsidRDefault="009C2DB0" w:rsidP="009C2DB0">
      <w:pPr>
        <w:jc w:val="both"/>
      </w:pPr>
    </w:p>
    <w:p w:rsidR="009C2DB0" w:rsidRPr="009C2DB0" w:rsidRDefault="009C2DB0" w:rsidP="00F80749">
      <w:pPr>
        <w:jc w:val="center"/>
      </w:pPr>
    </w:p>
    <w:p w:rsidR="009C2DB0" w:rsidRPr="009C2DB0" w:rsidRDefault="00F80749" w:rsidP="00F80749">
      <w:pPr>
        <w:jc w:val="center"/>
      </w:pPr>
      <w:r>
        <w:t>č</w:t>
      </w:r>
      <w:r w:rsidR="009C2DB0" w:rsidRPr="009C2DB0">
        <w:t>.</w:t>
      </w:r>
      <w:r>
        <w:t xml:space="preserve"> 247</w:t>
      </w:r>
    </w:p>
    <w:p w:rsidR="009C2DB0" w:rsidRPr="009C2DB0" w:rsidRDefault="009C2DB0" w:rsidP="009C2DB0">
      <w:pPr>
        <w:jc w:val="both"/>
      </w:pPr>
    </w:p>
    <w:p w:rsidR="009C2DB0" w:rsidRPr="009C2DB0" w:rsidRDefault="009C2DB0" w:rsidP="009C2DB0">
      <w:pPr>
        <w:jc w:val="both"/>
      </w:pPr>
    </w:p>
    <w:p w:rsidR="009C2DB0" w:rsidRPr="009C2DB0" w:rsidRDefault="009C2DB0" w:rsidP="009C2DB0">
      <w:pPr>
        <w:pStyle w:val="Odstavecseseznamem"/>
        <w:numPr>
          <w:ilvl w:val="0"/>
          <w:numId w:val="31"/>
        </w:numPr>
        <w:ind w:hanging="720"/>
        <w:jc w:val="both"/>
      </w:pPr>
      <w:r w:rsidRPr="009C2DB0">
        <w:t>B e r e   n a   v ě d o m í</w:t>
      </w:r>
    </w:p>
    <w:p w:rsidR="009C2DB0" w:rsidRPr="009C2DB0" w:rsidRDefault="009C2DB0" w:rsidP="009C2DB0">
      <w:pPr>
        <w:jc w:val="both"/>
      </w:pPr>
    </w:p>
    <w:p w:rsidR="009C2DB0" w:rsidRPr="009C2DB0" w:rsidRDefault="009C2DB0" w:rsidP="009C2DB0">
      <w:pPr>
        <w:pStyle w:val="Odstavecseseznamem"/>
        <w:numPr>
          <w:ilvl w:val="0"/>
          <w:numId w:val="32"/>
        </w:numPr>
        <w:ind w:left="426" w:hanging="426"/>
        <w:jc w:val="both"/>
      </w:pPr>
      <w:r w:rsidRPr="009C2DB0">
        <w:t>Skutečnost, že New Property Management a.s. je investorem stavby „Obytný soubor – bytové domy Na Chmelnicích“ zahrnující novostavby bytových objektů 01-12 s příslušnými pozemními komunikacemi, inženýrskými sítěmi a sadovými úpravami na pozemcích parc. č. 11097/4, 11197/1, 12720, 11102/3, 11102/4, 11102/5, 11121/1 11198, v k.</w:t>
      </w:r>
      <w:r>
        <w:t xml:space="preserve"> </w:t>
      </w:r>
      <w:r w:rsidRPr="009C2DB0">
        <w:t>ú. Plzeň (dále také jen „Projekt“). NPM podal dne 31. 10. 2018 žádost o vydání územního rozhodnutí na Projekt</w:t>
      </w:r>
      <w:r>
        <w:t>.</w:t>
      </w:r>
    </w:p>
    <w:p w:rsidR="009C2DB0" w:rsidRPr="009C2DB0" w:rsidRDefault="009C2DB0" w:rsidP="009C2DB0">
      <w:pPr>
        <w:pStyle w:val="Odstavecseseznamem"/>
        <w:numPr>
          <w:ilvl w:val="0"/>
          <w:numId w:val="32"/>
        </w:numPr>
        <w:ind w:left="426" w:hanging="426"/>
        <w:jc w:val="both"/>
      </w:pPr>
      <w:r w:rsidRPr="009C2DB0">
        <w:t>Město má záměr jako stavebník společně s druhým stavebníkem Plzeňským krajem vybudovat stavbu „Městský okruh západní část, II. etapa“ (dále jen „MZO II.“)</w:t>
      </w:r>
      <w:r w:rsidR="00CE7874">
        <w:t>.</w:t>
      </w:r>
      <w:r w:rsidRPr="009C2DB0">
        <w:t xml:space="preserve"> </w:t>
      </w:r>
    </w:p>
    <w:p w:rsidR="009C2DB0" w:rsidRPr="009C2DB0" w:rsidRDefault="009C2DB0" w:rsidP="009C2DB0">
      <w:pPr>
        <w:pStyle w:val="Odstavecseseznamem"/>
        <w:numPr>
          <w:ilvl w:val="0"/>
          <w:numId w:val="32"/>
        </w:numPr>
        <w:ind w:left="426" w:hanging="426"/>
        <w:jc w:val="both"/>
      </w:pPr>
      <w:r w:rsidRPr="009C2DB0">
        <w:t>Město má záměr jako stavebník a vlastník místní komunikace alej Svobody vybudovat stavbu „Prodloužená alej Svobody, západní část“, včetně nezbytných částí související infrastruktury</w:t>
      </w:r>
      <w:r>
        <w:t>.</w:t>
      </w:r>
    </w:p>
    <w:p w:rsidR="009C2DB0" w:rsidRPr="009C2DB0" w:rsidRDefault="009C2DB0" w:rsidP="009C2DB0">
      <w:pPr>
        <w:pStyle w:val="Odstavecseseznamem"/>
        <w:numPr>
          <w:ilvl w:val="0"/>
          <w:numId w:val="32"/>
        </w:numPr>
        <w:ind w:left="426" w:hanging="426"/>
        <w:jc w:val="both"/>
      </w:pPr>
      <w:r w:rsidRPr="009C2DB0">
        <w:t>NPM má zájem na vybudování části stavby „Prodloužená alej Svobody, západní část“ v úseku od okružní křižovatky tzv. Jižní větve MZO II po napojení Projektu na pozemcích parc. č. 11097/1 a 11097/2 v k.</w:t>
      </w:r>
      <w:r w:rsidR="00CE7874">
        <w:t xml:space="preserve"> </w:t>
      </w:r>
      <w:r w:rsidRPr="009C2DB0">
        <w:t>ú. Plzeň v rozsahu dle situačního výkresu, který tvoří přílohu č. 2 důvodové zprávy (dále jen „Alej Svobody, I. etapa“)</w:t>
      </w:r>
      <w:r>
        <w:t>.</w:t>
      </w:r>
    </w:p>
    <w:p w:rsidR="009C2DB0" w:rsidRPr="009C2DB0" w:rsidRDefault="009C2DB0" w:rsidP="009C2DB0">
      <w:pPr>
        <w:pStyle w:val="Odstavecseseznamem"/>
        <w:numPr>
          <w:ilvl w:val="0"/>
          <w:numId w:val="32"/>
        </w:numPr>
        <w:ind w:left="426" w:hanging="426"/>
        <w:jc w:val="both"/>
      </w:pPr>
      <w:r w:rsidRPr="009C2DB0">
        <w:t>Město je vlastníkem pozemků parc. č. 11097/1 a parc. č. 11097/2 v k.</w:t>
      </w:r>
      <w:r w:rsidR="00CE7874">
        <w:t xml:space="preserve"> </w:t>
      </w:r>
      <w:r w:rsidRPr="009C2DB0">
        <w:t>ú. Plzeň, obec Plzeň, zapsaných v KN u Katastrálního úřadu pro Plzeňský kraj, Katastrální pracoviště Plzeň - město (dále jen „Pozemky“)</w:t>
      </w:r>
      <w:r>
        <w:t>.</w:t>
      </w:r>
    </w:p>
    <w:p w:rsidR="009C2DB0" w:rsidRPr="009C2DB0" w:rsidRDefault="009C2DB0" w:rsidP="009C2DB0">
      <w:pPr>
        <w:jc w:val="both"/>
      </w:pPr>
    </w:p>
    <w:p w:rsidR="009C2DB0" w:rsidRPr="009C2DB0" w:rsidRDefault="009C2DB0" w:rsidP="009C2DB0">
      <w:pPr>
        <w:pStyle w:val="Odstavecseseznamem"/>
        <w:numPr>
          <w:ilvl w:val="0"/>
          <w:numId w:val="31"/>
        </w:numPr>
        <w:ind w:hanging="720"/>
        <w:jc w:val="both"/>
      </w:pPr>
      <w:r w:rsidRPr="009C2DB0">
        <w:t>S c h v a l u j e</w:t>
      </w:r>
    </w:p>
    <w:p w:rsidR="009C2DB0" w:rsidRPr="009C2DB0" w:rsidRDefault="009C2DB0" w:rsidP="009C2DB0">
      <w:pPr>
        <w:jc w:val="both"/>
      </w:pPr>
    </w:p>
    <w:p w:rsidR="009C2DB0" w:rsidRPr="009C2DB0" w:rsidRDefault="009C2DB0" w:rsidP="00237909">
      <w:pPr>
        <w:pStyle w:val="Odstavecseseznamem"/>
        <w:numPr>
          <w:ilvl w:val="0"/>
          <w:numId w:val="38"/>
        </w:numPr>
        <w:ind w:left="426" w:hanging="426"/>
        <w:jc w:val="both"/>
      </w:pPr>
      <w:r w:rsidRPr="009C2DB0">
        <w:t>Uzavření smlouvy o spolupráci mezi statutárním městem Plzeň a společností New Property Management a.s., IČ 27862488, se sídlem Praha 1, Masarykovo nábřeží 235/28, PSČ 110 00 (dále jen NPM) za následujících podmínek:</w:t>
      </w:r>
    </w:p>
    <w:p w:rsidR="009C2DB0" w:rsidRPr="009C2DB0" w:rsidRDefault="009C2DB0" w:rsidP="009C2DB0">
      <w:pPr>
        <w:pStyle w:val="Odstavecseseznamem"/>
        <w:numPr>
          <w:ilvl w:val="0"/>
          <w:numId w:val="33"/>
        </w:numPr>
        <w:jc w:val="both"/>
      </w:pPr>
      <w:r w:rsidRPr="009C2DB0">
        <w:t>NPM se zavazuje:</w:t>
      </w:r>
    </w:p>
    <w:p w:rsidR="009C2DB0" w:rsidRPr="009C2DB0" w:rsidRDefault="009C2DB0" w:rsidP="009C2DB0">
      <w:pPr>
        <w:pStyle w:val="Odstavecseseznamem"/>
        <w:numPr>
          <w:ilvl w:val="0"/>
          <w:numId w:val="35"/>
        </w:numPr>
        <w:ind w:left="1134" w:hanging="425"/>
        <w:jc w:val="both"/>
      </w:pPr>
      <w:r w:rsidRPr="009C2DB0">
        <w:t>pořídit na své náklady dokumentaci ve stupni pro územní řízení a rozhodnutí pro umístění stavby Alej Svobody, I. etapa (dále jen „DUR“)</w:t>
      </w:r>
      <w:r>
        <w:t>,</w:t>
      </w:r>
      <w:r w:rsidRPr="009C2DB0">
        <w:t xml:space="preserve"> </w:t>
      </w:r>
    </w:p>
    <w:p w:rsidR="009C2DB0" w:rsidRPr="009C2DB0" w:rsidRDefault="009C2DB0" w:rsidP="009C2DB0">
      <w:pPr>
        <w:pStyle w:val="Odstavecseseznamem"/>
        <w:numPr>
          <w:ilvl w:val="0"/>
          <w:numId w:val="35"/>
        </w:numPr>
        <w:ind w:left="1134" w:hanging="425"/>
        <w:jc w:val="both"/>
      </w:pPr>
      <w:r w:rsidRPr="009C2DB0">
        <w:t>jako vlastník DUR a držitel výhradní licence k autorským právům k DUR bezúplatně převést na Město vlastnické právo k DUR a bezúplatně postoupit Městu dle ustanovení § 2364 zákona č. 89/2012 Sb., občanský zákoník, ve znění pozdějších předpisů, licenci k užití všech výsledků autorské činnosti vytvořených při zpracování DUR, a to vše do 30 dnů od právní moci územního rozhodnutí</w:t>
      </w:r>
      <w:r>
        <w:t>,</w:t>
      </w:r>
    </w:p>
    <w:p w:rsidR="009C2DB0" w:rsidRDefault="009C2DB0" w:rsidP="009C2DB0">
      <w:pPr>
        <w:pStyle w:val="Odstavecseseznamem"/>
        <w:numPr>
          <w:ilvl w:val="0"/>
          <w:numId w:val="35"/>
        </w:numPr>
        <w:tabs>
          <w:tab w:val="left" w:pos="1134"/>
        </w:tabs>
        <w:ind w:left="1134" w:hanging="425"/>
        <w:jc w:val="both"/>
      </w:pPr>
      <w:r w:rsidRPr="009C2DB0">
        <w:t>uhradit Městu podíl ve výši 50 % z konečných stavebních nákladů na vybudování stavby Alej Svobody, I. Etapa</w:t>
      </w:r>
      <w:r>
        <w:t>,</w:t>
      </w:r>
    </w:p>
    <w:p w:rsidR="009C2DB0" w:rsidRPr="009C2DB0" w:rsidRDefault="009C2DB0" w:rsidP="009C2DB0">
      <w:pPr>
        <w:pStyle w:val="Odstavecseseznamem"/>
        <w:tabs>
          <w:tab w:val="left" w:pos="1134"/>
        </w:tabs>
        <w:ind w:left="1134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F80749">
        <w:tab/>
      </w:r>
      <w:r>
        <w:t>Pokračování usn. č.</w:t>
      </w:r>
      <w:r w:rsidR="00F80749">
        <w:t xml:space="preserve"> 247</w:t>
      </w:r>
    </w:p>
    <w:p w:rsidR="009C2DB0" w:rsidRPr="009C2DB0" w:rsidRDefault="009C2DB0" w:rsidP="009C2DB0">
      <w:pPr>
        <w:ind w:left="1134"/>
        <w:jc w:val="both"/>
      </w:pPr>
      <w:r w:rsidRPr="009C2DB0">
        <w:t>v</w:t>
      </w:r>
      <w:r>
        <w:t> </w:t>
      </w:r>
      <w:r w:rsidRPr="009C2DB0">
        <w:t>době uzavření této smlouvy činí předpokládaná výše stavebních nákladů na vybudování stavby Alej Svobody, I. Etapa částku 13</w:t>
      </w:r>
      <w:r>
        <w:t> </w:t>
      </w:r>
      <w:r w:rsidRPr="009C2DB0">
        <w:t>552</w:t>
      </w:r>
      <w:r>
        <w:t xml:space="preserve"> </w:t>
      </w:r>
      <w:r w:rsidRPr="009C2DB0">
        <w:t xml:space="preserve">000 Kč vč. DPH, tzn. </w:t>
      </w:r>
      <w:r w:rsidR="00CE7874">
        <w:t>p</w:t>
      </w:r>
      <w:r w:rsidRPr="009C2DB0">
        <w:t>ředpokládaná výše 50</w:t>
      </w:r>
      <w:r>
        <w:t xml:space="preserve"> </w:t>
      </w:r>
      <w:r w:rsidRPr="009C2DB0">
        <w:t>% podílu NPM činí částku 6</w:t>
      </w:r>
      <w:r>
        <w:t> </w:t>
      </w:r>
      <w:r w:rsidRPr="009C2DB0">
        <w:t>776</w:t>
      </w:r>
      <w:r>
        <w:t xml:space="preserve"> </w:t>
      </w:r>
      <w:r w:rsidRPr="009C2DB0">
        <w:t>000 Kč vč. DPH s</w:t>
      </w:r>
      <w:r>
        <w:t> </w:t>
      </w:r>
      <w:r w:rsidRPr="009C2DB0">
        <w:t>tím, že tato předpokládaná výše nákladů byla na základě DUR stanovena autorizovanými osobami daných odborností;</w:t>
      </w:r>
    </w:p>
    <w:p w:rsidR="009C2DB0" w:rsidRPr="009C2DB0" w:rsidRDefault="009C2DB0" w:rsidP="009C2DB0">
      <w:pPr>
        <w:pStyle w:val="Odstavecseseznamem"/>
        <w:numPr>
          <w:ilvl w:val="0"/>
          <w:numId w:val="35"/>
        </w:numPr>
        <w:ind w:left="1134" w:hanging="425"/>
        <w:jc w:val="both"/>
      </w:pPr>
      <w:r w:rsidRPr="009C2DB0">
        <w:t>pokud nejpozději do 30. června 2024 nebude stavba Alej Svobody, I. etapa dokončena a zkolaudována, uhradí NPM Městu jako konečný podíl na stavebních nákladech této stavby pevnou částku 7</w:t>
      </w:r>
      <w:r w:rsidR="00CE7874">
        <w:t> </w:t>
      </w:r>
      <w:r w:rsidRPr="009C2DB0">
        <w:t>865</w:t>
      </w:r>
      <w:r w:rsidR="00CE7874">
        <w:t xml:space="preserve"> </w:t>
      </w:r>
      <w:r w:rsidRPr="009C2DB0">
        <w:t>000 Kč vč. DPH;</w:t>
      </w:r>
    </w:p>
    <w:p w:rsidR="009C2DB0" w:rsidRPr="009C2DB0" w:rsidRDefault="009C2DB0" w:rsidP="009C2DB0">
      <w:pPr>
        <w:pStyle w:val="Odstavecseseznamem"/>
        <w:numPr>
          <w:ilvl w:val="0"/>
          <w:numId w:val="35"/>
        </w:numPr>
        <w:ind w:left="1134" w:hanging="425"/>
        <w:jc w:val="both"/>
      </w:pPr>
      <w:r w:rsidRPr="009C2DB0">
        <w:t>NPM se zavazuje uhradit svůj podíl na konečných stavebních nákladech na vybudování stavby Alej Svobody, I. etapa dle předchozích odstavců této smlouvy do 60 dnů od doručení písemné výzvy Města k úhradě, jejíž součástí bude rozpis konečných nákladů a stanovení podílu NPM na těchto nákladech. V případě, že se nepodaří stavbu Alej Svobody, I. etapa dokončit a zkolaudovat do 30. června 2024, nebude výzva obsahovat rozpis konečných nákladů, ale pouze částku odpovídající podílu NPM. NPM uhradí Městu příslušnou částku na účet Města ve výzvě uvedený; dnem úhrady se rozumí den připsání finančních prostředků na účet Města.</w:t>
      </w:r>
    </w:p>
    <w:p w:rsidR="009C2DB0" w:rsidRPr="009C2DB0" w:rsidRDefault="009C2DB0" w:rsidP="00237909">
      <w:pPr>
        <w:pStyle w:val="Odstavecseseznamem"/>
        <w:numPr>
          <w:ilvl w:val="0"/>
          <w:numId w:val="33"/>
        </w:numPr>
        <w:ind w:hanging="294"/>
        <w:jc w:val="both"/>
      </w:pPr>
      <w:r>
        <w:t>M</w:t>
      </w:r>
      <w:r w:rsidRPr="009C2DB0">
        <w:t>ěsto Plzeň se zavazuje:</w:t>
      </w:r>
    </w:p>
    <w:p w:rsidR="009C2DB0" w:rsidRPr="009C2DB0" w:rsidRDefault="009C2DB0" w:rsidP="00237909">
      <w:pPr>
        <w:pStyle w:val="Odstavecseseznamem"/>
        <w:numPr>
          <w:ilvl w:val="0"/>
          <w:numId w:val="37"/>
        </w:numPr>
        <w:ind w:left="1134" w:hanging="425"/>
        <w:jc w:val="both"/>
      </w:pPr>
      <w:r w:rsidRPr="009C2DB0">
        <w:t>jako stavebník a investor na své náklady pořídit soubor samostatné projektové dokumentace pro stavební řízení a povolení stavby Alej Svobody, I. etapa (dále jen „DSP“) a zajistit její projednání v rámci příslušných správních řízení a získat veškerá potřebná správní rozhodnutí a stanoviska nezbytná pro realizaci této stavby</w:t>
      </w:r>
      <w:r w:rsidR="00237909">
        <w:t>,</w:t>
      </w:r>
    </w:p>
    <w:p w:rsidR="009C2DB0" w:rsidRPr="009C2DB0" w:rsidRDefault="009C2DB0" w:rsidP="00237909">
      <w:pPr>
        <w:pStyle w:val="Odstavecseseznamem"/>
        <w:numPr>
          <w:ilvl w:val="0"/>
          <w:numId w:val="37"/>
        </w:numPr>
        <w:ind w:left="1134" w:hanging="425"/>
        <w:jc w:val="both"/>
      </w:pPr>
      <w:r w:rsidRPr="009C2DB0">
        <w:t>jako stavebník a investor zajistit na své náklady vybudování stavby Alej Svobody, I. etapa vč. zajištění kolaudace stavby nezbytné k jejímu řádnému uvedení do provozu; tímto není nijak dotčena povinnost NPM uhradit Městu podíl na stavebních nákladech dle bodu II.1</w:t>
      </w:r>
      <w:bookmarkStart w:id="0" w:name="_GoBack"/>
      <w:bookmarkEnd w:id="0"/>
      <w:r w:rsidRPr="009C2DB0">
        <w:t xml:space="preserve"> tohoto usnesení</w:t>
      </w:r>
      <w:r w:rsidR="00237909">
        <w:t>,</w:t>
      </w:r>
    </w:p>
    <w:p w:rsidR="009C2DB0" w:rsidRPr="009C2DB0" w:rsidRDefault="009C2DB0" w:rsidP="00237909">
      <w:pPr>
        <w:pStyle w:val="Odstavecseseznamem"/>
        <w:numPr>
          <w:ilvl w:val="0"/>
          <w:numId w:val="37"/>
        </w:numPr>
        <w:ind w:left="1134" w:hanging="425"/>
        <w:jc w:val="both"/>
      </w:pPr>
      <w:r w:rsidRPr="009C2DB0">
        <w:t xml:space="preserve">po celou dobu projektové přípravy a následně během přípravy výstavby a při výstavbě samotné umožnit zástupcům NPM účast na výrobních poradách a na kontrolních dnech stavby Aleje Svobody, I. etapa a k této účasti učinit vždy v přiměřeném předstihu příslušnou výzvu. </w:t>
      </w:r>
    </w:p>
    <w:p w:rsidR="009C2DB0" w:rsidRPr="009C2DB0" w:rsidRDefault="009C2DB0" w:rsidP="00237909">
      <w:pPr>
        <w:pStyle w:val="Odstavecseseznamem"/>
        <w:numPr>
          <w:ilvl w:val="0"/>
          <w:numId w:val="33"/>
        </w:numPr>
        <w:ind w:hanging="294"/>
        <w:jc w:val="both"/>
      </w:pPr>
      <w:r w:rsidRPr="009C2DB0">
        <w:t>Obě smluvní strany se zavazují společně připravit, podat a případně doplnit žádost o vydání územního rozhodnutí o umístění stavby Alej Svobody, I. etapa a koordinovaně postupovat při následném územním řízení. Žadatelem o vydání územního rozhodnutí bude Město a NPM.</w:t>
      </w:r>
    </w:p>
    <w:p w:rsidR="009C2DB0" w:rsidRPr="009C2DB0" w:rsidRDefault="009C2DB0" w:rsidP="009C2DB0">
      <w:pPr>
        <w:jc w:val="both"/>
      </w:pPr>
    </w:p>
    <w:p w:rsidR="009C2DB0" w:rsidRPr="009C2DB0" w:rsidRDefault="009C2DB0" w:rsidP="00237909">
      <w:pPr>
        <w:pStyle w:val="Odstavecseseznamem"/>
        <w:numPr>
          <w:ilvl w:val="0"/>
          <w:numId w:val="38"/>
        </w:numPr>
        <w:ind w:left="426" w:hanging="426"/>
        <w:jc w:val="both"/>
      </w:pPr>
      <w:r w:rsidRPr="009C2DB0">
        <w:t>Blokaci prostředků v rámci Fondu rezerv a rozvoje MP - Rezerva na pokrytí rizik             a nepředvídatelných výdajů  v roce 2022 na akci "Alej Svobody, I. etapa" ve výši           16 600 tis. Kč</w:t>
      </w:r>
    </w:p>
    <w:p w:rsidR="009C2DB0" w:rsidRPr="009C2DB0" w:rsidRDefault="009C2DB0" w:rsidP="009C2DB0">
      <w:pPr>
        <w:jc w:val="both"/>
      </w:pPr>
    </w:p>
    <w:p w:rsidR="009C2DB0" w:rsidRPr="009C2DB0" w:rsidRDefault="009C2DB0" w:rsidP="009C2DB0">
      <w:pPr>
        <w:jc w:val="both"/>
      </w:pPr>
    </w:p>
    <w:p w:rsidR="009C2DB0" w:rsidRPr="009C2DB0" w:rsidRDefault="00237909" w:rsidP="00237909">
      <w:pPr>
        <w:ind w:left="5664" w:firstLine="708"/>
        <w:jc w:val="both"/>
      </w:pPr>
      <w:r>
        <w:lastRenderedPageBreak/>
        <w:t>Pokračování usn. č.</w:t>
      </w:r>
      <w:r w:rsidR="00F80749">
        <w:t xml:space="preserve"> 247</w:t>
      </w:r>
    </w:p>
    <w:p w:rsidR="009C2DB0" w:rsidRPr="009C2DB0" w:rsidRDefault="009C2DB0" w:rsidP="009C2DB0">
      <w:pPr>
        <w:pStyle w:val="Odstavecseseznamem"/>
        <w:numPr>
          <w:ilvl w:val="0"/>
          <w:numId w:val="31"/>
        </w:numPr>
        <w:ind w:hanging="720"/>
        <w:jc w:val="both"/>
      </w:pPr>
      <w:r w:rsidRPr="009C2DB0">
        <w:t>U k l á d á</w:t>
      </w:r>
    </w:p>
    <w:p w:rsidR="009C2DB0" w:rsidRPr="009C2DB0" w:rsidRDefault="009C2DB0" w:rsidP="009C2DB0">
      <w:pPr>
        <w:jc w:val="both"/>
      </w:pPr>
    </w:p>
    <w:p w:rsidR="009C2DB0" w:rsidRPr="009C2DB0" w:rsidRDefault="009C2DB0" w:rsidP="009C2DB0">
      <w:pPr>
        <w:jc w:val="both"/>
      </w:pPr>
      <w:r w:rsidRPr="009C2DB0">
        <w:rPr>
          <w:color w:val="000000"/>
        </w:rPr>
        <w:t>Radě města Plzně</w:t>
      </w:r>
      <w:r w:rsidRPr="009C2DB0">
        <w:t xml:space="preserve"> </w:t>
      </w:r>
    </w:p>
    <w:p w:rsidR="009C2DB0" w:rsidRPr="009C2DB0" w:rsidRDefault="009C2DB0" w:rsidP="00237909">
      <w:pPr>
        <w:pStyle w:val="Odstavecseseznamem"/>
        <w:numPr>
          <w:ilvl w:val="0"/>
          <w:numId w:val="39"/>
        </w:numPr>
        <w:ind w:left="426" w:hanging="426"/>
        <w:jc w:val="both"/>
      </w:pPr>
      <w:r w:rsidRPr="009C2DB0">
        <w:t>Zajistit uzavření smlouvy o spolupráci.</w:t>
      </w:r>
    </w:p>
    <w:p w:rsidR="009C2DB0" w:rsidRPr="009C2DB0" w:rsidRDefault="009C2DB0" w:rsidP="00237909">
      <w:pPr>
        <w:ind w:firstLine="426"/>
        <w:jc w:val="both"/>
      </w:pPr>
      <w:r w:rsidRPr="009C2DB0">
        <w:t>Termín: 31. 8. 2019</w:t>
      </w:r>
      <w:r w:rsidR="00237909">
        <w:tab/>
      </w:r>
      <w:r w:rsidR="00237909">
        <w:tab/>
      </w:r>
      <w:r w:rsidR="00237909">
        <w:tab/>
      </w:r>
      <w:r w:rsidR="00237909">
        <w:tab/>
      </w:r>
      <w:r w:rsidR="00237909">
        <w:tab/>
      </w:r>
      <w:r w:rsidRPr="009C2DB0">
        <w:t>Zodpovídá: Mgr. Šindelář</w:t>
      </w:r>
    </w:p>
    <w:p w:rsidR="009C2DB0" w:rsidRPr="009C2DB0" w:rsidRDefault="00237909" w:rsidP="00237909">
      <w:pPr>
        <w:ind w:left="5664" w:firstLine="708"/>
        <w:jc w:val="both"/>
      </w:pPr>
      <w:r>
        <w:t xml:space="preserve">        </w:t>
      </w:r>
      <w:r w:rsidR="009C2DB0" w:rsidRPr="009C2DB0">
        <w:t>Ing. Grisník</w:t>
      </w:r>
    </w:p>
    <w:p w:rsidR="009C2DB0" w:rsidRPr="009C2DB0" w:rsidRDefault="009C2DB0" w:rsidP="009C2DB0">
      <w:pPr>
        <w:jc w:val="both"/>
      </w:pPr>
    </w:p>
    <w:p w:rsidR="009C2DB0" w:rsidRPr="00237909" w:rsidRDefault="009C2DB0" w:rsidP="00237909">
      <w:pPr>
        <w:pStyle w:val="Odstavecseseznamem"/>
        <w:numPr>
          <w:ilvl w:val="0"/>
          <w:numId w:val="39"/>
        </w:numPr>
        <w:ind w:left="426" w:hanging="426"/>
        <w:jc w:val="both"/>
        <w:rPr>
          <w:szCs w:val="24"/>
        </w:rPr>
      </w:pPr>
      <w:r w:rsidRPr="00237909">
        <w:rPr>
          <w:szCs w:val="24"/>
        </w:rPr>
        <w:t>Zajistit blokaci prostředků dle bodu II</w:t>
      </w:r>
      <w:r w:rsidR="00237909">
        <w:rPr>
          <w:szCs w:val="24"/>
        </w:rPr>
        <w:t>.</w:t>
      </w:r>
      <w:r w:rsidRPr="00237909">
        <w:rPr>
          <w:szCs w:val="24"/>
        </w:rPr>
        <w:t>2 v rámci Fondu rezerv a rozvoje MP.</w:t>
      </w:r>
    </w:p>
    <w:p w:rsidR="009C2DB0" w:rsidRPr="009C2DB0" w:rsidRDefault="009C2DB0" w:rsidP="00237909">
      <w:pPr>
        <w:ind w:firstLine="426"/>
        <w:jc w:val="both"/>
        <w:rPr>
          <w:szCs w:val="24"/>
        </w:rPr>
      </w:pPr>
      <w:r w:rsidRPr="009C2DB0">
        <w:rPr>
          <w:szCs w:val="24"/>
        </w:rPr>
        <w:t>Termín: 15. 7. 2019</w:t>
      </w:r>
      <w:r w:rsidR="00237909">
        <w:rPr>
          <w:szCs w:val="24"/>
        </w:rPr>
        <w:tab/>
      </w:r>
      <w:r w:rsidR="00237909">
        <w:rPr>
          <w:szCs w:val="24"/>
        </w:rPr>
        <w:tab/>
      </w:r>
      <w:r w:rsidR="00237909">
        <w:rPr>
          <w:szCs w:val="24"/>
        </w:rPr>
        <w:tab/>
      </w:r>
      <w:r w:rsidR="00237909">
        <w:rPr>
          <w:szCs w:val="24"/>
        </w:rPr>
        <w:tab/>
      </w:r>
      <w:r w:rsidR="00237909">
        <w:rPr>
          <w:szCs w:val="24"/>
        </w:rPr>
        <w:tab/>
      </w:r>
      <w:r w:rsidRPr="009C2DB0">
        <w:rPr>
          <w:szCs w:val="24"/>
        </w:rPr>
        <w:t>Zodpovídá: Bc. Šlouf, MBA</w:t>
      </w:r>
    </w:p>
    <w:p w:rsidR="009C2DB0" w:rsidRPr="009C2DB0" w:rsidRDefault="00237909" w:rsidP="00237909">
      <w:pPr>
        <w:ind w:left="5664" w:firstLine="708"/>
        <w:jc w:val="both"/>
      </w:pPr>
      <w:r>
        <w:t xml:space="preserve">        </w:t>
      </w:r>
      <w:r w:rsidR="009C2DB0" w:rsidRPr="009C2DB0">
        <w:t>Ing. Dezortová</w:t>
      </w:r>
    </w:p>
    <w:p w:rsidR="009C2DB0" w:rsidRPr="009C2DB0" w:rsidRDefault="009C2DB0" w:rsidP="009C2DB0">
      <w:pPr>
        <w:jc w:val="both"/>
      </w:pPr>
    </w:p>
    <w:sectPr w:rsidR="009C2DB0" w:rsidRPr="009C2DB0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237909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7874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237909">
      <w:rPr>
        <w:rStyle w:val="slostrnky"/>
      </w:rPr>
      <w:t>ze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02EB1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</w:t>
    </w:r>
    <w:r w:rsidR="00802EB1">
      <w:rPr>
        <w:i/>
        <w:color w:val="808080"/>
      </w:rPr>
      <w:t>7. 6. 2019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</w:t>
    </w:r>
    <w:r w:rsidR="00132CAB">
      <w:rPr>
        <w:i/>
        <w:color w:val="808080"/>
      </w:rPr>
      <w:t xml:space="preserve">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C2DB0">
      <w:rPr>
        <w:i/>
        <w:color w:val="808080"/>
      </w:rPr>
      <w:t>TN+RadS/3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607E85"/>
    <w:multiLevelType w:val="hybridMultilevel"/>
    <w:tmpl w:val="1AAEDF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519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743F1"/>
    <w:multiLevelType w:val="hybridMultilevel"/>
    <w:tmpl w:val="1AE8B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01553"/>
    <w:multiLevelType w:val="hybridMultilevel"/>
    <w:tmpl w:val="E200C2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D5B51"/>
    <w:multiLevelType w:val="hybridMultilevel"/>
    <w:tmpl w:val="7ED670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C77F8"/>
    <w:multiLevelType w:val="hybridMultilevel"/>
    <w:tmpl w:val="393C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E153C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7C23CDD"/>
    <w:multiLevelType w:val="hybridMultilevel"/>
    <w:tmpl w:val="75409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A16B1"/>
    <w:multiLevelType w:val="hybridMultilevel"/>
    <w:tmpl w:val="D1486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540746A0"/>
    <w:multiLevelType w:val="hybridMultilevel"/>
    <w:tmpl w:val="48FC3C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6E3CFE"/>
    <w:multiLevelType w:val="hybridMultilevel"/>
    <w:tmpl w:val="4612AA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F2395"/>
    <w:multiLevelType w:val="hybridMultilevel"/>
    <w:tmpl w:val="8FAC47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3">
    <w:nsid w:val="6DBD4817"/>
    <w:multiLevelType w:val="hybridMultilevel"/>
    <w:tmpl w:val="28221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D6AB4"/>
    <w:multiLevelType w:val="hybridMultilevel"/>
    <w:tmpl w:val="4612AA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61DAB"/>
    <w:multiLevelType w:val="hybridMultilevel"/>
    <w:tmpl w:val="9E2457D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0"/>
  </w:num>
  <w:num w:numId="2">
    <w:abstractNumId w:val="23"/>
  </w:num>
  <w:num w:numId="3">
    <w:abstractNumId w:val="32"/>
  </w:num>
  <w:num w:numId="4">
    <w:abstractNumId w:val="24"/>
  </w:num>
  <w:num w:numId="5">
    <w:abstractNumId w:val="8"/>
  </w:num>
  <w:num w:numId="6">
    <w:abstractNumId w:val="0"/>
  </w:num>
  <w:num w:numId="7">
    <w:abstractNumId w:val="39"/>
  </w:num>
  <w:num w:numId="8">
    <w:abstractNumId w:val="13"/>
  </w:num>
  <w:num w:numId="9">
    <w:abstractNumId w:val="10"/>
  </w:num>
  <w:num w:numId="10">
    <w:abstractNumId w:val="5"/>
  </w:num>
  <w:num w:numId="11">
    <w:abstractNumId w:val="16"/>
  </w:num>
  <w:num w:numId="12">
    <w:abstractNumId w:val="31"/>
  </w:num>
  <w:num w:numId="13">
    <w:abstractNumId w:val="14"/>
  </w:num>
  <w:num w:numId="14">
    <w:abstractNumId w:val="27"/>
  </w:num>
  <w:num w:numId="15">
    <w:abstractNumId w:val="22"/>
  </w:num>
  <w:num w:numId="16">
    <w:abstractNumId w:val="28"/>
  </w:num>
  <w:num w:numId="17">
    <w:abstractNumId w:val="15"/>
  </w:num>
  <w:num w:numId="18">
    <w:abstractNumId w:val="37"/>
  </w:num>
  <w:num w:numId="19">
    <w:abstractNumId w:val="35"/>
  </w:num>
  <w:num w:numId="20">
    <w:abstractNumId w:val="7"/>
  </w:num>
  <w:num w:numId="21">
    <w:abstractNumId w:val="38"/>
  </w:num>
  <w:num w:numId="22">
    <w:abstractNumId w:val="3"/>
  </w:num>
  <w:num w:numId="23">
    <w:abstractNumId w:val="30"/>
  </w:num>
  <w:num w:numId="24">
    <w:abstractNumId w:val="18"/>
  </w:num>
  <w:num w:numId="25">
    <w:abstractNumId w:val="20"/>
  </w:num>
  <w:num w:numId="26">
    <w:abstractNumId w:val="25"/>
  </w:num>
  <w:num w:numId="27">
    <w:abstractNumId w:val="26"/>
  </w:num>
  <w:num w:numId="28">
    <w:abstractNumId w:val="34"/>
  </w:num>
  <w:num w:numId="29">
    <w:abstractNumId w:val="19"/>
  </w:num>
  <w:num w:numId="30">
    <w:abstractNumId w:val="6"/>
  </w:num>
  <w:num w:numId="31">
    <w:abstractNumId w:val="36"/>
  </w:num>
  <w:num w:numId="32">
    <w:abstractNumId w:val="33"/>
  </w:num>
  <w:num w:numId="33">
    <w:abstractNumId w:val="11"/>
  </w:num>
  <w:num w:numId="34">
    <w:abstractNumId w:val="29"/>
  </w:num>
  <w:num w:numId="35">
    <w:abstractNumId w:val="12"/>
  </w:num>
  <w:num w:numId="36">
    <w:abstractNumId w:val="4"/>
  </w:num>
  <w:num w:numId="37">
    <w:abstractNumId w:val="21"/>
  </w:num>
  <w:num w:numId="38">
    <w:abstractNumId w:val="17"/>
  </w:num>
  <w:num w:numId="3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37909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771F6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2DB0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874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749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2DB0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2DB0"/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2DB0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2DB0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EE5D-E860-4285-BF50-F99F2B9C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3</Pages>
  <Words>821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2019-06-18T04:59:00Z</cp:lastPrinted>
  <dcterms:created xsi:type="dcterms:W3CDTF">2019-06-18T05:00:00Z</dcterms:created>
  <dcterms:modified xsi:type="dcterms:W3CDTF">2019-06-18T07:04:00Z</dcterms:modified>
</cp:coreProperties>
</file>